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bidi w:val="0"/>
        <w:jc w:val="center"/>
        <w:rPr>
          <w:rFonts w:hint="eastAsia" w:ascii="宋体" w:hAnsi="宋体" w:eastAsia="宋体" w:cs="宋体"/>
        </w:rPr>
      </w:pPr>
      <w:bookmarkStart w:id="0" w:name="_Toc13096"/>
      <w:r>
        <w:rPr>
          <w:rFonts w:hint="eastAsia" w:ascii="宋体" w:hAnsi="宋体" w:eastAsia="宋体" w:cs="宋体"/>
          <w:lang w:eastAsia="zh-CN"/>
        </w:rPr>
        <w:t>山东财经大学圣井校区建成区南临混凝土道路工程竞争性谈判</w:t>
      </w:r>
      <w:r>
        <w:rPr>
          <w:rFonts w:hint="eastAsia" w:ascii="宋体" w:hAnsi="宋体" w:eastAsia="宋体" w:cs="宋体"/>
        </w:rPr>
        <w:t>公告</w:t>
      </w:r>
      <w:bookmarkEnd w:id="0"/>
    </w:p>
    <w:p>
      <w:pPr>
        <w:rPr>
          <w:rFonts w:hint="eastAsia" w:ascii="宋体" w:hAnsi="宋体" w:eastAsia="宋体" w:cs="宋体"/>
          <w:lang w:eastAsia="zh-CN"/>
        </w:rPr>
      </w:pPr>
      <w:bookmarkStart w:id="1" w:name="_Toc5620"/>
      <w:r>
        <w:rPr>
          <w:rFonts w:hint="eastAsia" w:ascii="宋体" w:hAnsi="宋体" w:eastAsia="宋体" w:cs="宋体"/>
          <w:lang w:eastAsia="zh-CN"/>
        </w:rPr>
        <w:t>一、联系方式</w:t>
      </w:r>
      <w:bookmarkEnd w:id="1"/>
    </w:p>
    <w:p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采购人：</w:t>
      </w:r>
      <w:r>
        <w:rPr>
          <w:rFonts w:hint="eastAsia" w:ascii="宋体" w:hAnsi="宋体" w:eastAsia="宋体" w:cs="宋体"/>
          <w:lang w:eastAsia="zh-CN"/>
        </w:rPr>
        <w:t>山东财经大学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地址：济南市历下区二环东路7366号(山东财经大学)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采购代理机构：山东蓝盾招标代理有限公司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地址：济南市高新区工业南路59号中铁财智中心6号楼15层</w:t>
      </w:r>
    </w:p>
    <w:p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val="zh-CN"/>
        </w:rPr>
        <w:t>联系人：</w:t>
      </w:r>
      <w:r>
        <w:rPr>
          <w:rFonts w:hint="eastAsia" w:ascii="宋体" w:hAnsi="宋体" w:eastAsia="宋体" w:cs="宋体"/>
          <w:lang w:eastAsia="zh-CN"/>
        </w:rPr>
        <w:t>王法伟</w:t>
      </w:r>
    </w:p>
    <w:p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联系方式：</w:t>
      </w:r>
      <w:r>
        <w:rPr>
          <w:rFonts w:hint="eastAsia" w:ascii="宋体" w:hAnsi="宋体" w:eastAsia="宋体" w:cs="宋体"/>
          <w:lang w:eastAsia="zh-CN"/>
        </w:rPr>
        <w:t>18596098616、</w:t>
      </w:r>
      <w:r>
        <w:rPr>
          <w:rFonts w:hint="eastAsia" w:ascii="宋体" w:hAnsi="宋体" w:eastAsia="宋体" w:cs="宋体"/>
        </w:rPr>
        <w:t>0531-88809762-8005</w:t>
      </w:r>
      <w:r>
        <w:rPr>
          <w:rFonts w:hint="eastAsia" w:ascii="宋体" w:hAnsi="宋体" w:eastAsia="宋体" w:cs="宋体"/>
          <w:lang w:val="en-US" w:eastAsia="zh-CN"/>
        </w:rPr>
        <w:t xml:space="preserve">  </w:t>
      </w:r>
    </w:p>
    <w:p>
      <w:pPr>
        <w:rPr>
          <w:rFonts w:hint="eastAsia" w:ascii="宋体" w:hAnsi="宋体" w:eastAsia="宋体" w:cs="宋体"/>
          <w:lang w:eastAsia="zh-CN"/>
        </w:rPr>
      </w:pPr>
      <w:bookmarkStart w:id="2" w:name="_Toc4983"/>
      <w:r>
        <w:rPr>
          <w:rFonts w:hint="eastAsia" w:ascii="宋体" w:hAnsi="宋体" w:eastAsia="宋体" w:cs="宋体"/>
          <w:lang w:eastAsia="zh-CN"/>
        </w:rPr>
        <w:t>二、项目名称：</w:t>
      </w:r>
      <w:bookmarkEnd w:id="2"/>
      <w:r>
        <w:rPr>
          <w:rFonts w:hint="eastAsia" w:ascii="宋体" w:hAnsi="宋体" w:eastAsia="宋体" w:cs="宋体"/>
          <w:lang w:eastAsia="zh-CN"/>
        </w:rPr>
        <w:t>山东财经大学圣井校区建成区南临混凝土道路工程</w:t>
      </w:r>
    </w:p>
    <w:p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项目编号：</w:t>
      </w:r>
      <w:r>
        <w:rPr>
          <w:rFonts w:hint="eastAsia" w:ascii="宋体" w:hAnsi="宋体" w:eastAsia="宋体" w:cs="宋体"/>
          <w:lang w:val="en-US" w:eastAsia="zh-CN"/>
        </w:rPr>
        <w:t xml:space="preserve">SDLD2021TP002  </w:t>
      </w:r>
    </w:p>
    <w:p>
      <w:pPr>
        <w:rPr>
          <w:rFonts w:hint="eastAsia" w:ascii="宋体" w:hAnsi="宋体" w:eastAsia="宋体" w:cs="宋体"/>
          <w:lang w:eastAsia="zh-CN"/>
        </w:rPr>
      </w:pPr>
      <w:bookmarkStart w:id="3" w:name="_Toc16686"/>
      <w:r>
        <w:rPr>
          <w:rFonts w:hint="eastAsia" w:ascii="宋体" w:hAnsi="宋体" w:eastAsia="宋体" w:cs="宋体"/>
          <w:lang w:eastAsia="zh-CN"/>
        </w:rPr>
        <w:t>三、项目分包情况：</w:t>
      </w:r>
      <w:bookmarkEnd w:id="3"/>
    </w:p>
    <w:tbl>
      <w:tblPr>
        <w:tblStyle w:val="21"/>
        <w:tblW w:w="98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939"/>
        <w:gridCol w:w="69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  <w:bookmarkStart w:id="4" w:name="_Toc2523_WPSOffice_Level2"/>
            <w:bookmarkStart w:id="5" w:name="_Toc14547_WPSOffice_Level2"/>
            <w:r>
              <w:rPr>
                <w:rFonts w:hint="eastAsia" w:ascii="宋体" w:hAnsi="宋体" w:eastAsia="宋体" w:cs="宋体"/>
              </w:rPr>
              <w:t>标包</w:t>
            </w: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工程</w:t>
            </w:r>
            <w:r>
              <w:rPr>
                <w:rFonts w:hint="eastAsia" w:ascii="宋体" w:hAnsi="宋体" w:eastAsia="宋体" w:cs="宋体"/>
              </w:rPr>
              <w:t>名称</w:t>
            </w:r>
          </w:p>
        </w:tc>
        <w:tc>
          <w:tcPr>
            <w:tcW w:w="6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供应商资格要求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  <w:jc w:val="center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</w:t>
            </w: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山东财经大学圣井校区建成区南临混凝土道路工程</w:t>
            </w:r>
          </w:p>
        </w:tc>
        <w:tc>
          <w:tcPr>
            <w:tcW w:w="6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1、遵守有关的国家法律、法规和条例，具备《中华人民共和国政府采购法》第二十二条规定的条件，并提供相关材料；</w:t>
            </w:r>
          </w:p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2、具有房屋建筑工程施工总承包叁级及以上资质</w:t>
            </w: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</w:rPr>
              <w:t>或市政公用工程施工总承包叁级及以上资质</w:t>
            </w:r>
            <w:r>
              <w:rPr>
                <w:rFonts w:hint="eastAsia" w:ascii="宋体" w:hAnsi="宋体" w:eastAsia="宋体" w:cs="宋体"/>
                <w:lang w:eastAsia="zh-CN"/>
              </w:rPr>
              <w:t>），并具有</w:t>
            </w:r>
            <w:r>
              <w:rPr>
                <w:rFonts w:hint="eastAsia" w:ascii="宋体" w:hAnsi="宋体" w:eastAsia="宋体" w:cs="宋体"/>
              </w:rPr>
              <w:t>有效的安全生产许可证；</w:t>
            </w:r>
          </w:p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3、项目经理须具备建筑工程</w:t>
            </w: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或市政工程</w:t>
            </w:r>
            <w:r>
              <w:rPr>
                <w:rFonts w:hint="eastAsia" w:ascii="宋体" w:hAnsi="宋体" w:eastAsia="宋体" w:cs="宋体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</w:rPr>
              <w:t>专业二级及以上注册建造师资格(注册单位为报价人)和有效的安全生产考核合格证书（B证）；</w:t>
            </w:r>
          </w:p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</w:rPr>
              <w:t>、根据财政部财库【2016】125号文件《财政部关于在政府采购活动中查询及使用信用记录有关问题的通知》，通过中国政府采购</w:t>
            </w:r>
            <w:r>
              <w:rPr>
                <w:rFonts w:hint="eastAsia" w:ascii="宋体" w:hAnsi="宋体" w:eastAsia="宋体" w:cs="宋体"/>
              </w:rPr>
              <w:fldChar w:fldCharType="begin"/>
            </w:r>
            <w:r>
              <w:rPr>
                <w:rFonts w:hint="eastAsia" w:ascii="宋体" w:hAnsi="宋体" w:eastAsia="宋体" w:cs="宋体"/>
              </w:rPr>
              <w:instrText xml:space="preserve">HYPERLINK "http://www.ccgp.gov.cn"</w:instrText>
            </w:r>
            <w:r>
              <w:rPr>
                <w:rFonts w:hint="eastAsia" w:ascii="宋体" w:hAnsi="宋体" w:eastAsia="宋体" w:cs="宋体"/>
              </w:rPr>
              <w:fldChar w:fldCharType="separate"/>
            </w:r>
            <w:r>
              <w:rPr>
                <w:rFonts w:hint="eastAsia" w:ascii="宋体" w:hAnsi="宋体" w:eastAsia="宋体" w:cs="宋体"/>
              </w:rPr>
              <w:t>（www.ccgp.gov.cn</w:t>
            </w:r>
            <w:r>
              <w:rPr>
                <w:rFonts w:hint="eastAsia" w:ascii="宋体" w:hAnsi="宋体" w:eastAsia="宋体" w:cs="宋体"/>
              </w:rPr>
              <w:fldChar w:fldCharType="end"/>
            </w:r>
            <w:r>
              <w:rPr>
                <w:rFonts w:hint="eastAsia" w:ascii="宋体" w:hAnsi="宋体" w:eastAsia="宋体" w:cs="宋体"/>
              </w:rPr>
              <w:t>）、</w:t>
            </w:r>
            <w:r>
              <w:rPr>
                <w:rFonts w:hint="eastAsia" w:ascii="宋体" w:hAnsi="宋体" w:eastAsia="宋体" w:cs="宋体"/>
              </w:rPr>
              <w:fldChar w:fldCharType="begin"/>
            </w:r>
            <w:r>
              <w:rPr>
                <w:rFonts w:hint="eastAsia" w:ascii="宋体" w:hAnsi="宋体" w:eastAsia="宋体" w:cs="宋体"/>
              </w:rPr>
              <w:instrText xml:space="preserve">HYPERLINK "http://www.creditchina.gov.cn"</w:instrText>
            </w:r>
            <w:r>
              <w:rPr>
                <w:rFonts w:hint="eastAsia" w:ascii="宋体" w:hAnsi="宋体" w:eastAsia="宋体" w:cs="宋体"/>
              </w:rPr>
              <w:fldChar w:fldCharType="separate"/>
            </w:r>
            <w:r>
              <w:rPr>
                <w:rFonts w:hint="eastAsia" w:ascii="宋体" w:hAnsi="宋体" w:eastAsia="宋体" w:cs="宋体"/>
              </w:rPr>
              <w:t>信用中国网站（www.creditchina.gov.cn</w:t>
            </w:r>
            <w:r>
              <w:rPr>
                <w:rFonts w:hint="eastAsia" w:ascii="宋体" w:hAnsi="宋体" w:eastAsia="宋体" w:cs="宋体"/>
              </w:rPr>
              <w:fldChar w:fldCharType="end"/>
            </w:r>
            <w:r>
              <w:rPr>
                <w:rFonts w:hint="eastAsia" w:ascii="宋体" w:hAnsi="宋体" w:eastAsia="宋体" w:cs="宋体"/>
              </w:rPr>
              <w:t>）查询无失信被执行人、重大税收违法案件当事人名单、政府采购严重违法失信名单的记录；</w:t>
            </w:r>
          </w:p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</w:rPr>
              <w:t>、本项目不接受联合体</w:t>
            </w:r>
            <w:r>
              <w:rPr>
                <w:rFonts w:hint="eastAsia" w:ascii="宋体" w:hAnsi="宋体" w:eastAsia="宋体" w:cs="宋体"/>
                <w:lang w:eastAsia="zh-CN"/>
              </w:rPr>
              <w:t>响应</w:t>
            </w:r>
            <w:r>
              <w:rPr>
                <w:rFonts w:hint="eastAsia" w:ascii="宋体" w:hAnsi="宋体" w:eastAsia="宋体" w:cs="宋体"/>
              </w:rPr>
              <w:t>；</w:t>
            </w:r>
          </w:p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</w:rPr>
              <w:t>、法律、法规对合格供应商的有关规定。</w:t>
            </w:r>
          </w:p>
        </w:tc>
      </w:tr>
      <w:bookmarkEnd w:id="4"/>
      <w:bookmarkEnd w:id="5"/>
    </w:tbl>
    <w:p>
      <w:pPr>
        <w:rPr>
          <w:rFonts w:hint="eastAsia" w:ascii="宋体" w:hAnsi="宋体" w:eastAsia="宋体" w:cs="宋体"/>
          <w:lang w:eastAsia="zh-CN"/>
        </w:rPr>
      </w:pPr>
      <w:bookmarkStart w:id="6" w:name="_Toc31574_WPSOffice_Level2"/>
      <w:bookmarkStart w:id="7" w:name="_Toc4028"/>
      <w:bookmarkStart w:id="8" w:name="_Toc11362_WPSOffice_Level2"/>
      <w:r>
        <w:rPr>
          <w:rFonts w:hint="eastAsia" w:ascii="宋体" w:hAnsi="宋体" w:eastAsia="宋体" w:cs="宋体"/>
          <w:lang w:val="en-US" w:eastAsia="zh-CN"/>
        </w:rPr>
        <w:t>四</w:t>
      </w:r>
      <w:r>
        <w:rPr>
          <w:rFonts w:hint="eastAsia" w:ascii="宋体" w:hAnsi="宋体" w:eastAsia="宋体" w:cs="宋体"/>
          <w:lang w:eastAsia="zh-CN"/>
        </w:rPr>
        <w:t>、获取竞争性谈判文件</w:t>
      </w:r>
      <w:bookmarkEnd w:id="6"/>
      <w:bookmarkEnd w:id="7"/>
      <w:bookmarkEnd w:id="8"/>
    </w:p>
    <w:p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1.时间：202</w:t>
      </w:r>
      <w:r>
        <w:rPr>
          <w:rFonts w:hint="eastAsia" w:ascii="宋体" w:hAnsi="宋体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eastAsia="zh-CN"/>
        </w:rPr>
        <w:t>年</w:t>
      </w:r>
      <w:r>
        <w:rPr>
          <w:rFonts w:hint="eastAsia" w:ascii="宋体" w:hAnsi="宋体" w:eastAsia="宋体" w:cs="宋体"/>
          <w:lang w:val="en-US" w:eastAsia="zh-CN"/>
        </w:rPr>
        <w:t>11</w:t>
      </w:r>
      <w:r>
        <w:rPr>
          <w:rFonts w:hint="eastAsia" w:ascii="宋体" w:hAnsi="宋体" w:eastAsia="宋体" w:cs="宋体"/>
          <w:lang w:eastAsia="zh-CN"/>
        </w:rPr>
        <w:t>月</w:t>
      </w:r>
      <w:r>
        <w:rPr>
          <w:rFonts w:hint="eastAsia" w:ascii="宋体" w:hAnsi="宋体" w:eastAsia="宋体" w:cs="宋体"/>
          <w:lang w:val="en-US" w:eastAsia="zh-CN"/>
        </w:rPr>
        <w:t>20</w:t>
      </w:r>
      <w:r>
        <w:rPr>
          <w:rFonts w:hint="eastAsia" w:ascii="宋体" w:hAnsi="宋体" w:eastAsia="宋体" w:cs="宋体"/>
          <w:lang w:eastAsia="zh-CN"/>
        </w:rPr>
        <w:t>日</w:t>
      </w:r>
      <w:r>
        <w:rPr>
          <w:rFonts w:hint="eastAsia" w:ascii="宋体" w:hAnsi="宋体" w:eastAsia="宋体" w:cs="宋体"/>
          <w:lang w:val="en-US" w:eastAsia="zh-CN"/>
        </w:rPr>
        <w:t>08</w:t>
      </w:r>
      <w:r>
        <w:rPr>
          <w:rFonts w:hint="eastAsia" w:ascii="宋体" w:hAnsi="宋体" w:eastAsia="宋体" w:cs="宋体"/>
          <w:lang w:eastAsia="zh-CN"/>
        </w:rPr>
        <w:t>时</w:t>
      </w:r>
      <w:r>
        <w:rPr>
          <w:rFonts w:hint="eastAsia" w:ascii="宋体" w:hAnsi="宋体" w:eastAsia="宋体" w:cs="宋体"/>
          <w:lang w:val="en-US" w:eastAsia="zh-CN"/>
        </w:rPr>
        <w:t>30</w:t>
      </w:r>
      <w:r>
        <w:rPr>
          <w:rFonts w:hint="eastAsia" w:ascii="宋体" w:hAnsi="宋体" w:eastAsia="宋体" w:cs="宋体"/>
          <w:lang w:eastAsia="zh-CN"/>
        </w:rPr>
        <w:t>分至</w:t>
      </w:r>
      <w:r>
        <w:rPr>
          <w:rFonts w:hint="eastAsia" w:ascii="宋体" w:hAnsi="宋体" w:eastAsia="宋体" w:cs="宋体"/>
          <w:lang w:val="en-US" w:eastAsia="zh-CN"/>
        </w:rPr>
        <w:t>2021</w:t>
      </w:r>
      <w:r>
        <w:rPr>
          <w:rFonts w:hint="eastAsia" w:ascii="宋体" w:hAnsi="宋体" w:eastAsia="宋体" w:cs="宋体"/>
          <w:lang w:eastAsia="zh-CN"/>
        </w:rPr>
        <w:t>年</w:t>
      </w:r>
      <w:r>
        <w:rPr>
          <w:rFonts w:hint="eastAsia" w:ascii="宋体" w:hAnsi="宋体" w:eastAsia="宋体" w:cs="宋体"/>
          <w:lang w:val="en-US" w:eastAsia="zh-CN"/>
        </w:rPr>
        <w:t>11</w:t>
      </w:r>
      <w:r>
        <w:rPr>
          <w:rFonts w:hint="eastAsia" w:ascii="宋体" w:hAnsi="宋体" w:eastAsia="宋体" w:cs="宋体"/>
          <w:lang w:eastAsia="zh-CN"/>
        </w:rPr>
        <w:t>月</w:t>
      </w:r>
      <w:r>
        <w:rPr>
          <w:rFonts w:hint="eastAsia" w:ascii="宋体" w:hAnsi="宋体" w:eastAsia="宋体" w:cs="宋体"/>
          <w:lang w:val="en-US" w:eastAsia="zh-CN"/>
        </w:rPr>
        <w:t>24</w:t>
      </w:r>
      <w:r>
        <w:rPr>
          <w:rFonts w:hint="eastAsia" w:ascii="宋体" w:hAnsi="宋体" w:eastAsia="宋体" w:cs="宋体"/>
          <w:lang w:eastAsia="zh-CN"/>
        </w:rPr>
        <w:t>日</w:t>
      </w:r>
      <w:r>
        <w:rPr>
          <w:rFonts w:hint="eastAsia" w:ascii="宋体" w:hAnsi="宋体" w:eastAsia="宋体" w:cs="宋体"/>
          <w:lang w:val="en-US" w:eastAsia="zh-CN"/>
        </w:rPr>
        <w:t>17</w:t>
      </w:r>
      <w:r>
        <w:rPr>
          <w:rFonts w:hint="eastAsia" w:ascii="宋体" w:hAnsi="宋体" w:eastAsia="宋体" w:cs="宋体"/>
          <w:lang w:eastAsia="zh-CN"/>
        </w:rPr>
        <w:t>时</w:t>
      </w:r>
      <w:r>
        <w:rPr>
          <w:rFonts w:hint="eastAsia" w:ascii="宋体" w:hAnsi="宋体" w:eastAsia="宋体" w:cs="宋体"/>
          <w:lang w:val="en-US" w:eastAsia="zh-CN"/>
        </w:rPr>
        <w:t>30</w:t>
      </w:r>
      <w:r>
        <w:rPr>
          <w:rFonts w:hint="eastAsia" w:ascii="宋体" w:hAnsi="宋体" w:eastAsia="宋体" w:cs="宋体"/>
          <w:lang w:eastAsia="zh-CN"/>
        </w:rPr>
        <w:t>分（北京时间，法定节假日除外）</w:t>
      </w:r>
    </w:p>
    <w:p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2.地点：</w:t>
      </w:r>
      <w:r>
        <w:rPr>
          <w:rFonts w:hint="eastAsia" w:ascii="宋体" w:hAnsi="宋体" w:eastAsia="宋体" w:cs="宋体"/>
        </w:rPr>
        <w:t>济南市高新区工业南路59号中铁财智中心6号楼15楼财务部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3.方式：凡有意参加本次采购的供应商需携带以下资料到现场进行报名：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请携带：企业营业执照副本或三证合一的营业执照副本、资质证书、项目经理注册建造师资质证书及安全生产考核合格证书（B类）证书、信用查询结果网页查询截图、法定代表人证明书（或委托的代理人持授权委托书及代理人身份证原件）。以上证件需提供原件及加盖公章复印件一份，否则不予办理报名手续。</w:t>
      </w:r>
    </w:p>
    <w:p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报名时的资料查验不代表资格审查的最终通过或合格。</w:t>
      </w:r>
      <w:r>
        <w:rPr>
          <w:rFonts w:hint="eastAsia" w:ascii="宋体" w:hAnsi="宋体" w:eastAsia="宋体" w:cs="宋体"/>
          <w:lang w:eastAsia="zh-CN"/>
        </w:rPr>
        <w:t>（疫情期间，项目后续招标工作动态请随时关注变更公告）</w:t>
      </w:r>
    </w:p>
    <w:p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4.售价：</w:t>
      </w:r>
      <w:r>
        <w:rPr>
          <w:rFonts w:hint="eastAsia" w:ascii="宋体" w:hAnsi="宋体" w:eastAsia="宋体" w:cs="宋体"/>
          <w:lang w:val="en-US" w:eastAsia="zh-CN"/>
        </w:rPr>
        <w:t>300</w:t>
      </w:r>
      <w:r>
        <w:rPr>
          <w:rFonts w:hint="eastAsia" w:ascii="宋体" w:hAnsi="宋体" w:eastAsia="宋体" w:cs="宋体"/>
          <w:lang w:eastAsia="zh-CN"/>
        </w:rPr>
        <w:t>元/份（现金）</w:t>
      </w:r>
    </w:p>
    <w:p>
      <w:pPr>
        <w:rPr>
          <w:rFonts w:hint="eastAsia" w:ascii="宋体" w:hAnsi="宋体" w:eastAsia="宋体" w:cs="宋体"/>
          <w:lang w:eastAsia="zh-CN"/>
        </w:rPr>
      </w:pPr>
      <w:bookmarkStart w:id="9" w:name="_Toc2494_WPSOffice_Level2"/>
      <w:bookmarkStart w:id="10" w:name="_Toc3715_WPSOffice_Level3"/>
      <w:bookmarkStart w:id="11" w:name="_Toc13293_WPSOffice_Level2"/>
      <w:r>
        <w:rPr>
          <w:rFonts w:hint="eastAsia" w:ascii="宋体" w:hAnsi="宋体" w:eastAsia="宋体" w:cs="宋体"/>
          <w:lang w:val="en-US" w:eastAsia="zh-CN"/>
        </w:rPr>
        <w:t>五</w:t>
      </w:r>
      <w:r>
        <w:rPr>
          <w:rFonts w:hint="eastAsia" w:ascii="宋体" w:hAnsi="宋体" w:eastAsia="宋体" w:cs="宋体"/>
          <w:lang w:eastAsia="zh-CN"/>
        </w:rPr>
        <w:t>、公告期限：202</w:t>
      </w:r>
      <w:r>
        <w:rPr>
          <w:rFonts w:hint="eastAsia" w:ascii="宋体" w:hAnsi="宋体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eastAsia="zh-CN"/>
        </w:rPr>
        <w:t>年</w:t>
      </w:r>
      <w:r>
        <w:rPr>
          <w:rFonts w:hint="eastAsia" w:ascii="宋体" w:hAnsi="宋体" w:eastAsia="宋体" w:cs="宋体"/>
          <w:lang w:val="en-US" w:eastAsia="zh-CN"/>
        </w:rPr>
        <w:t>11</w:t>
      </w:r>
      <w:r>
        <w:rPr>
          <w:rFonts w:hint="eastAsia" w:ascii="宋体" w:hAnsi="宋体" w:eastAsia="宋体" w:cs="宋体"/>
          <w:lang w:eastAsia="zh-CN"/>
        </w:rPr>
        <w:t>月</w:t>
      </w:r>
      <w:r>
        <w:rPr>
          <w:rFonts w:hint="eastAsia" w:ascii="宋体" w:hAnsi="宋体" w:eastAsia="宋体" w:cs="宋体"/>
          <w:lang w:val="en-US" w:eastAsia="zh-CN"/>
        </w:rPr>
        <w:t>20</w:t>
      </w:r>
      <w:r>
        <w:rPr>
          <w:rFonts w:hint="eastAsia" w:ascii="宋体" w:hAnsi="宋体" w:eastAsia="宋体" w:cs="宋体"/>
          <w:lang w:eastAsia="zh-CN"/>
        </w:rPr>
        <w:t>日至</w:t>
      </w:r>
      <w:r>
        <w:rPr>
          <w:rFonts w:hint="eastAsia" w:ascii="宋体" w:hAnsi="宋体" w:eastAsia="宋体" w:cs="宋体"/>
          <w:lang w:val="en-US" w:eastAsia="zh-CN"/>
        </w:rPr>
        <w:t>2021</w:t>
      </w:r>
      <w:r>
        <w:rPr>
          <w:rFonts w:hint="eastAsia" w:ascii="宋体" w:hAnsi="宋体" w:eastAsia="宋体" w:cs="宋体"/>
          <w:lang w:eastAsia="zh-CN"/>
        </w:rPr>
        <w:t>年</w:t>
      </w:r>
      <w:r>
        <w:rPr>
          <w:rFonts w:hint="eastAsia" w:ascii="宋体" w:hAnsi="宋体" w:eastAsia="宋体" w:cs="宋体"/>
          <w:lang w:val="en-US" w:eastAsia="zh-CN"/>
        </w:rPr>
        <w:t>11</w:t>
      </w:r>
      <w:r>
        <w:rPr>
          <w:rFonts w:hint="eastAsia" w:ascii="宋体" w:hAnsi="宋体" w:eastAsia="宋体" w:cs="宋体"/>
          <w:lang w:eastAsia="zh-CN"/>
        </w:rPr>
        <w:t>月</w:t>
      </w:r>
      <w:r>
        <w:rPr>
          <w:rFonts w:hint="eastAsia" w:ascii="宋体" w:hAnsi="宋体" w:eastAsia="宋体" w:cs="宋体"/>
          <w:lang w:val="en-US" w:eastAsia="zh-CN"/>
        </w:rPr>
        <w:t>24</w:t>
      </w:r>
      <w:r>
        <w:rPr>
          <w:rFonts w:hint="eastAsia" w:ascii="宋体" w:hAnsi="宋体" w:eastAsia="宋体" w:cs="宋体"/>
          <w:lang w:eastAsia="zh-CN"/>
        </w:rPr>
        <w:t>日（北京时间，法定节假日除外）</w:t>
      </w:r>
      <w:bookmarkEnd w:id="9"/>
      <w:bookmarkEnd w:id="10"/>
      <w:bookmarkEnd w:id="11"/>
      <w:r>
        <w:rPr>
          <w:rFonts w:hint="eastAsia" w:ascii="宋体" w:hAnsi="宋体" w:eastAsia="宋体" w:cs="宋体"/>
          <w:lang w:eastAsia="zh-CN"/>
        </w:rPr>
        <w:t xml:space="preserve"> </w:t>
      </w:r>
    </w:p>
    <w:p>
      <w:pPr>
        <w:rPr>
          <w:rFonts w:hint="eastAsia" w:ascii="宋体" w:hAnsi="宋体" w:eastAsia="宋体" w:cs="宋体"/>
          <w:lang w:eastAsia="zh-CN"/>
        </w:rPr>
      </w:pPr>
      <w:bookmarkStart w:id="12" w:name="_Toc17005_WPSOffice_Level2"/>
      <w:bookmarkStart w:id="13" w:name="_Toc26195_WPSOffice_Level2"/>
      <w:r>
        <w:rPr>
          <w:rFonts w:hint="eastAsia" w:ascii="宋体" w:hAnsi="宋体" w:eastAsia="宋体" w:cs="宋体"/>
          <w:lang w:val="en-US" w:eastAsia="zh-CN"/>
        </w:rPr>
        <w:t>六</w:t>
      </w:r>
      <w:r>
        <w:rPr>
          <w:rFonts w:hint="eastAsia" w:ascii="宋体" w:hAnsi="宋体" w:eastAsia="宋体" w:cs="宋体"/>
          <w:lang w:eastAsia="zh-CN"/>
        </w:rPr>
        <w:t>、递交报价文件时间及地点</w:t>
      </w:r>
      <w:bookmarkEnd w:id="12"/>
      <w:bookmarkEnd w:id="13"/>
    </w:p>
    <w:p>
      <w:pPr>
        <w:rPr>
          <w:rFonts w:hint="eastAsia" w:ascii="宋体" w:hAnsi="宋体" w:eastAsia="宋体" w:cs="宋体"/>
          <w:lang w:eastAsia="zh-CN"/>
        </w:rPr>
      </w:pPr>
      <w:bookmarkStart w:id="14" w:name="_Toc14547_WPSOffice_Level3"/>
      <w:r>
        <w:rPr>
          <w:rFonts w:hint="eastAsia" w:ascii="宋体" w:hAnsi="宋体" w:eastAsia="宋体" w:cs="宋体"/>
          <w:lang w:eastAsia="zh-CN"/>
        </w:rPr>
        <w:t>1.时间：</w:t>
      </w:r>
      <w:r>
        <w:rPr>
          <w:rFonts w:hint="eastAsia" w:ascii="宋体" w:hAnsi="宋体" w:eastAsia="宋体" w:cs="宋体"/>
          <w:lang w:val="en-US" w:eastAsia="zh-CN"/>
        </w:rPr>
        <w:t>2021年11月25日13</w:t>
      </w:r>
      <w:r>
        <w:rPr>
          <w:rFonts w:hint="eastAsia" w:ascii="宋体" w:hAnsi="宋体" w:eastAsia="宋体" w:cs="宋体"/>
          <w:lang w:eastAsia="zh-CN"/>
        </w:rPr>
        <w:t>时30分至</w:t>
      </w:r>
      <w:r>
        <w:rPr>
          <w:rFonts w:hint="eastAsia" w:ascii="宋体" w:hAnsi="宋体" w:eastAsia="宋体" w:cs="宋体"/>
          <w:lang w:val="en-US" w:eastAsia="zh-CN"/>
        </w:rPr>
        <w:t>2021年11月25日</w:t>
      </w:r>
      <w:r>
        <w:rPr>
          <w:rFonts w:hint="eastAsia" w:ascii="宋体" w:hAnsi="宋体" w:eastAsia="宋体" w:cs="宋体"/>
          <w:lang w:eastAsia="zh-CN"/>
        </w:rPr>
        <w:t>14时00分（北京时间）</w:t>
      </w:r>
      <w:bookmarkEnd w:id="14"/>
    </w:p>
    <w:p>
      <w:pPr>
        <w:rPr>
          <w:rFonts w:hint="eastAsia" w:ascii="宋体" w:hAnsi="宋体" w:eastAsia="宋体" w:cs="宋体"/>
          <w:lang w:eastAsia="zh-CN"/>
        </w:rPr>
      </w:pPr>
      <w:bookmarkStart w:id="15" w:name="_Toc11362_WPSOffice_Level3"/>
      <w:r>
        <w:rPr>
          <w:rFonts w:hint="eastAsia" w:ascii="宋体" w:hAnsi="宋体" w:eastAsia="宋体" w:cs="宋体"/>
          <w:lang w:eastAsia="zh-CN"/>
        </w:rPr>
        <w:t>2.地点：</w:t>
      </w:r>
      <w:bookmarkEnd w:id="15"/>
      <w:r>
        <w:rPr>
          <w:rFonts w:hint="eastAsia" w:ascii="宋体" w:hAnsi="宋体" w:eastAsia="宋体" w:cs="宋体"/>
          <w:lang w:val="en-US" w:eastAsia="zh-CN"/>
        </w:rPr>
        <w:t>济</w:t>
      </w:r>
      <w:r>
        <w:rPr>
          <w:rFonts w:hint="eastAsia" w:ascii="宋体" w:hAnsi="宋体" w:eastAsia="宋体" w:cs="宋体"/>
          <w:lang w:eastAsia="zh-CN"/>
        </w:rPr>
        <w:t>南市高新区工业南路59号中铁财智中心6号楼15楼第二开标室（以法定代表人或授权代表到达开标室为准）</w:t>
      </w:r>
    </w:p>
    <w:p>
      <w:pPr>
        <w:rPr>
          <w:rFonts w:hint="eastAsia" w:ascii="宋体" w:hAnsi="宋体" w:eastAsia="宋体" w:cs="宋体"/>
          <w:lang w:eastAsia="zh-CN"/>
        </w:rPr>
      </w:pPr>
      <w:bookmarkStart w:id="16" w:name="_Toc1884_WPSOffice_Level2"/>
      <w:bookmarkStart w:id="17" w:name="_Toc25852_WPSOffice_Level2"/>
      <w:r>
        <w:rPr>
          <w:rFonts w:hint="eastAsia" w:ascii="宋体" w:hAnsi="宋体" w:eastAsia="宋体" w:cs="宋体"/>
          <w:lang w:val="en-US" w:eastAsia="zh-CN"/>
        </w:rPr>
        <w:t>七</w:t>
      </w:r>
      <w:r>
        <w:rPr>
          <w:rFonts w:hint="eastAsia" w:ascii="宋体" w:hAnsi="宋体" w:eastAsia="宋体" w:cs="宋体"/>
          <w:lang w:eastAsia="zh-CN"/>
        </w:rPr>
        <w:t>、开标时间及地点</w:t>
      </w:r>
      <w:bookmarkEnd w:id="16"/>
      <w:bookmarkEnd w:id="17"/>
    </w:p>
    <w:p>
      <w:pPr>
        <w:rPr>
          <w:rFonts w:hint="eastAsia" w:ascii="宋体" w:hAnsi="宋体" w:eastAsia="宋体" w:cs="宋体"/>
          <w:lang w:eastAsia="zh-CN"/>
        </w:rPr>
      </w:pPr>
      <w:bookmarkStart w:id="18" w:name="_Toc13293_WPSOffice_Level3"/>
      <w:r>
        <w:rPr>
          <w:rFonts w:hint="eastAsia" w:ascii="宋体" w:hAnsi="宋体" w:eastAsia="宋体" w:cs="宋体"/>
          <w:lang w:eastAsia="zh-CN"/>
        </w:rPr>
        <w:t>1.时间：</w:t>
      </w:r>
      <w:r>
        <w:rPr>
          <w:rFonts w:hint="eastAsia" w:ascii="宋体" w:hAnsi="宋体" w:eastAsia="宋体" w:cs="宋体"/>
          <w:lang w:val="en-US" w:eastAsia="zh-CN"/>
        </w:rPr>
        <w:t>2021年11月25日</w:t>
      </w:r>
      <w:r>
        <w:rPr>
          <w:rFonts w:hint="eastAsia" w:ascii="宋体" w:hAnsi="宋体" w:eastAsia="宋体" w:cs="宋体"/>
          <w:lang w:eastAsia="zh-CN"/>
        </w:rPr>
        <w:t>14时00分（北京时间）</w:t>
      </w:r>
      <w:bookmarkEnd w:id="18"/>
    </w:p>
    <w:p>
      <w:pPr>
        <w:rPr>
          <w:rFonts w:hint="eastAsia" w:ascii="宋体" w:hAnsi="宋体" w:eastAsia="宋体" w:cs="宋体"/>
          <w:lang w:eastAsia="zh-CN"/>
        </w:rPr>
      </w:pPr>
      <w:bookmarkStart w:id="19" w:name="_Toc26195_WPSOffice_Level3"/>
      <w:r>
        <w:rPr>
          <w:rFonts w:hint="eastAsia" w:ascii="宋体" w:hAnsi="宋体" w:eastAsia="宋体" w:cs="宋体"/>
          <w:lang w:eastAsia="zh-CN"/>
        </w:rPr>
        <w:t>2.地点：</w:t>
      </w:r>
      <w:bookmarkEnd w:id="19"/>
      <w:r>
        <w:rPr>
          <w:rFonts w:hint="eastAsia" w:ascii="宋体" w:hAnsi="宋体" w:eastAsia="宋体" w:cs="宋体"/>
          <w:lang w:val="en-US" w:eastAsia="zh-CN"/>
        </w:rPr>
        <w:t>济</w:t>
      </w:r>
      <w:r>
        <w:rPr>
          <w:rFonts w:hint="eastAsia" w:ascii="宋体" w:hAnsi="宋体" w:eastAsia="宋体" w:cs="宋体"/>
        </w:rPr>
        <w:t>南市高新区工业南路59号中铁财智中心</w:t>
      </w:r>
      <w:bookmarkStart w:id="24" w:name="_GoBack"/>
      <w:bookmarkEnd w:id="24"/>
      <w:r>
        <w:rPr>
          <w:rFonts w:hint="eastAsia" w:ascii="宋体" w:hAnsi="宋体" w:eastAsia="宋体" w:cs="宋体"/>
        </w:rPr>
        <w:t>6号楼15楼第二开标室（以法定代表人或授权代表到达开标室为准）</w:t>
      </w:r>
    </w:p>
    <w:p>
      <w:pPr>
        <w:rPr>
          <w:rFonts w:hint="eastAsia" w:ascii="宋体" w:hAnsi="宋体" w:eastAsia="宋体" w:cs="宋体"/>
          <w:lang w:eastAsia="zh-CN"/>
        </w:rPr>
      </w:pPr>
      <w:bookmarkStart w:id="20" w:name="_Toc23437_WPSOffice_Level2"/>
      <w:bookmarkStart w:id="21" w:name="_Toc5286_WPSOffice_Level2"/>
      <w:r>
        <w:rPr>
          <w:rFonts w:hint="eastAsia" w:ascii="宋体" w:hAnsi="宋体" w:eastAsia="宋体" w:cs="宋体"/>
          <w:lang w:val="en-US" w:eastAsia="zh-CN"/>
        </w:rPr>
        <w:t>八</w:t>
      </w:r>
      <w:r>
        <w:rPr>
          <w:rFonts w:hint="eastAsia" w:ascii="宋体" w:hAnsi="宋体" w:eastAsia="宋体" w:cs="宋体"/>
          <w:lang w:eastAsia="zh-CN"/>
        </w:rPr>
        <w:t>、招标项目联系方式</w:t>
      </w:r>
      <w:bookmarkEnd w:id="20"/>
      <w:bookmarkEnd w:id="21"/>
    </w:p>
    <w:p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val="zh-CN"/>
        </w:rPr>
        <w:t>联系人：</w:t>
      </w:r>
      <w:r>
        <w:rPr>
          <w:rFonts w:hint="eastAsia" w:ascii="宋体" w:hAnsi="宋体" w:eastAsia="宋体" w:cs="宋体"/>
          <w:lang w:eastAsia="zh-CN"/>
        </w:rPr>
        <w:t>王法伟</w:t>
      </w:r>
      <w:r>
        <w:rPr>
          <w:rFonts w:hint="eastAsia" w:ascii="宋体" w:hAnsi="宋体" w:eastAsia="宋体" w:cs="宋体"/>
        </w:rPr>
        <w:t xml:space="preserve">   联系方式：</w:t>
      </w:r>
      <w:r>
        <w:rPr>
          <w:rFonts w:hint="eastAsia" w:ascii="宋体" w:hAnsi="宋体" w:eastAsia="宋体" w:cs="宋体"/>
          <w:lang w:eastAsia="zh-CN"/>
        </w:rPr>
        <w:t>18596098616、0531-88809762-8005</w:t>
      </w:r>
    </w:p>
    <w:p>
      <w:pPr>
        <w:rPr>
          <w:rFonts w:hint="eastAsia" w:ascii="宋体" w:hAnsi="宋体" w:eastAsia="宋体" w:cs="宋体"/>
          <w:lang w:eastAsia="zh-CN"/>
        </w:rPr>
      </w:pPr>
      <w:bookmarkStart w:id="22" w:name="_Toc31534_WPSOffice_Level2"/>
      <w:bookmarkStart w:id="23" w:name="_Toc26160_WPSOffice_Level2"/>
      <w:r>
        <w:rPr>
          <w:rFonts w:hint="eastAsia" w:ascii="宋体" w:hAnsi="宋体" w:eastAsia="宋体" w:cs="宋体"/>
          <w:lang w:eastAsia="zh-CN"/>
        </w:rPr>
        <w:t>招标项目的用途、数量、简要技术要求等详见竞争性谈判文件。</w:t>
      </w:r>
      <w:bookmarkEnd w:id="22"/>
      <w:bookmarkEnd w:id="23"/>
    </w:p>
    <w:p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val="en-US" w:eastAsia="zh-CN"/>
        </w:rPr>
        <w:t>发布媒介。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山东采购与招标网、山东财经大学官网、山东蓝盾招标代理有限公司官网</w:t>
      </w:r>
      <w:r>
        <w:rPr>
          <w:rFonts w:hint="eastAsia" w:ascii="宋体" w:hAnsi="宋体" w:eastAsia="宋体" w:cs="宋体"/>
          <w:lang w:eastAsia="zh-CN"/>
        </w:rPr>
        <w:t>上公布。</w:t>
      </w:r>
    </w:p>
    <w:p>
      <w:pPr>
        <w:rPr>
          <w:rFonts w:hint="eastAsia" w:ascii="宋体" w:hAnsi="宋体" w:eastAsia="宋体" w:cs="宋体"/>
          <w:lang w:eastAsia="zh-CN"/>
        </w:rPr>
      </w:pPr>
    </w:p>
    <w:p>
      <w:pPr>
        <w:jc w:val="right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山东蓝盾招标代理有限公司</w:t>
      </w:r>
    </w:p>
    <w:p>
      <w:pPr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2021</w:t>
      </w:r>
      <w:r>
        <w:rPr>
          <w:rFonts w:hint="eastAsia" w:ascii="宋体" w:hAnsi="宋体" w:eastAsia="宋体" w:cs="宋体"/>
        </w:rPr>
        <w:t>年</w:t>
      </w:r>
      <w:r>
        <w:rPr>
          <w:rFonts w:hint="eastAsia" w:ascii="宋体" w:hAnsi="宋体" w:eastAsia="宋体" w:cs="宋体"/>
          <w:lang w:val="en-US" w:eastAsia="zh-CN"/>
        </w:rPr>
        <w:t>11</w:t>
      </w:r>
      <w:r>
        <w:rPr>
          <w:rFonts w:hint="eastAsia" w:ascii="宋体" w:hAnsi="宋体" w:eastAsia="宋体" w:cs="宋体"/>
        </w:rPr>
        <w:t>月</w:t>
      </w:r>
      <w:r>
        <w:rPr>
          <w:rFonts w:hint="eastAsia" w:ascii="宋体" w:hAnsi="宋体" w:eastAsia="宋体" w:cs="宋体"/>
          <w:lang w:val="en-US" w:eastAsia="zh-CN"/>
        </w:rPr>
        <w:t>19</w:t>
      </w:r>
      <w:r>
        <w:rPr>
          <w:rFonts w:hint="eastAsia" w:ascii="宋体" w:hAnsi="宋体" w:eastAsia="宋体" w:cs="宋体"/>
        </w:rPr>
        <w:t>日</w:t>
      </w:r>
    </w:p>
    <w:p>
      <w:pPr>
        <w:rPr>
          <w:rFonts w:hint="eastAsia" w:ascii="宋体" w:hAnsi="宋体" w:eastAsia="宋体" w:cs="宋体"/>
        </w:rPr>
      </w:pPr>
    </w:p>
    <w:sectPr>
      <w:pgSz w:w="11900" w:h="16821"/>
      <w:pgMar w:top="964" w:right="850" w:bottom="1247" w:left="1134" w:header="720" w:footer="720" w:gutter="0"/>
      <w:cols w:space="0" w:num="1"/>
      <w:rtlGutter w:val="0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DC5F4E"/>
    <w:multiLevelType w:val="multilevel"/>
    <w:tmpl w:val="35DC5F4E"/>
    <w:lvl w:ilvl="0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pStyle w:val="8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pStyle w:val="9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pStyle w:val="10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pStyle w:val="11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pStyle w:val="12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pStyle w:val="13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6A4209"/>
    <w:rsid w:val="00492118"/>
    <w:rsid w:val="00BB4E48"/>
    <w:rsid w:val="01DB3804"/>
    <w:rsid w:val="02281028"/>
    <w:rsid w:val="02AB5125"/>
    <w:rsid w:val="032F6ED5"/>
    <w:rsid w:val="0408651E"/>
    <w:rsid w:val="040B1F88"/>
    <w:rsid w:val="04110DE5"/>
    <w:rsid w:val="042A6F2D"/>
    <w:rsid w:val="042E632D"/>
    <w:rsid w:val="045B7F4E"/>
    <w:rsid w:val="049F3912"/>
    <w:rsid w:val="04D86502"/>
    <w:rsid w:val="0506224F"/>
    <w:rsid w:val="054D16E9"/>
    <w:rsid w:val="05847C95"/>
    <w:rsid w:val="05C723CF"/>
    <w:rsid w:val="05C96AD0"/>
    <w:rsid w:val="062F7AC1"/>
    <w:rsid w:val="069F4D12"/>
    <w:rsid w:val="06F61634"/>
    <w:rsid w:val="079328A3"/>
    <w:rsid w:val="07D2590E"/>
    <w:rsid w:val="084C6169"/>
    <w:rsid w:val="085654E0"/>
    <w:rsid w:val="08883F80"/>
    <w:rsid w:val="09203239"/>
    <w:rsid w:val="09255ABD"/>
    <w:rsid w:val="097621E7"/>
    <w:rsid w:val="09895CA7"/>
    <w:rsid w:val="0B347DF1"/>
    <w:rsid w:val="0B413789"/>
    <w:rsid w:val="0B5E73DA"/>
    <w:rsid w:val="0BB25CF1"/>
    <w:rsid w:val="0C8B0AF6"/>
    <w:rsid w:val="0C901FEE"/>
    <w:rsid w:val="0D0228EB"/>
    <w:rsid w:val="0D1638A6"/>
    <w:rsid w:val="0D367B22"/>
    <w:rsid w:val="0DBE22E5"/>
    <w:rsid w:val="0E28023E"/>
    <w:rsid w:val="0E5E4327"/>
    <w:rsid w:val="0E6F684D"/>
    <w:rsid w:val="0EA6435D"/>
    <w:rsid w:val="0EB32982"/>
    <w:rsid w:val="0F1944A1"/>
    <w:rsid w:val="0F3500DB"/>
    <w:rsid w:val="0F653C62"/>
    <w:rsid w:val="100A6F1F"/>
    <w:rsid w:val="1016059F"/>
    <w:rsid w:val="110478F4"/>
    <w:rsid w:val="11312A34"/>
    <w:rsid w:val="11D27A61"/>
    <w:rsid w:val="12F12EC7"/>
    <w:rsid w:val="131634BD"/>
    <w:rsid w:val="13472856"/>
    <w:rsid w:val="13EC698E"/>
    <w:rsid w:val="13FD5B0C"/>
    <w:rsid w:val="142F2434"/>
    <w:rsid w:val="14617E30"/>
    <w:rsid w:val="146E020F"/>
    <w:rsid w:val="14AD6AFE"/>
    <w:rsid w:val="15B27558"/>
    <w:rsid w:val="163333C4"/>
    <w:rsid w:val="168D6539"/>
    <w:rsid w:val="1695394E"/>
    <w:rsid w:val="16AD0A95"/>
    <w:rsid w:val="16B61AA3"/>
    <w:rsid w:val="16F8116E"/>
    <w:rsid w:val="16F92FE2"/>
    <w:rsid w:val="17B745D5"/>
    <w:rsid w:val="17E6372A"/>
    <w:rsid w:val="184C1FEF"/>
    <w:rsid w:val="18A61FD2"/>
    <w:rsid w:val="193B6459"/>
    <w:rsid w:val="19490AD7"/>
    <w:rsid w:val="19801382"/>
    <w:rsid w:val="1985748C"/>
    <w:rsid w:val="19962A05"/>
    <w:rsid w:val="19994A3A"/>
    <w:rsid w:val="19A31AB2"/>
    <w:rsid w:val="1A1A4978"/>
    <w:rsid w:val="1B01225C"/>
    <w:rsid w:val="1B7B14B0"/>
    <w:rsid w:val="1C6A4209"/>
    <w:rsid w:val="1D495148"/>
    <w:rsid w:val="1D657A87"/>
    <w:rsid w:val="1DA63A02"/>
    <w:rsid w:val="1E233F2C"/>
    <w:rsid w:val="1EB67398"/>
    <w:rsid w:val="1F6417B8"/>
    <w:rsid w:val="1FD63F5E"/>
    <w:rsid w:val="20176105"/>
    <w:rsid w:val="20661754"/>
    <w:rsid w:val="206750B3"/>
    <w:rsid w:val="20BB5356"/>
    <w:rsid w:val="20BD3371"/>
    <w:rsid w:val="210D1553"/>
    <w:rsid w:val="21531F3C"/>
    <w:rsid w:val="21845325"/>
    <w:rsid w:val="222018A7"/>
    <w:rsid w:val="2227065D"/>
    <w:rsid w:val="22754DF4"/>
    <w:rsid w:val="2282038F"/>
    <w:rsid w:val="232D175A"/>
    <w:rsid w:val="239F2573"/>
    <w:rsid w:val="24233D2F"/>
    <w:rsid w:val="243018C8"/>
    <w:rsid w:val="24437430"/>
    <w:rsid w:val="24884358"/>
    <w:rsid w:val="24C3146E"/>
    <w:rsid w:val="24CA3A3B"/>
    <w:rsid w:val="24EA0EE9"/>
    <w:rsid w:val="253A1530"/>
    <w:rsid w:val="25620B60"/>
    <w:rsid w:val="25810BE0"/>
    <w:rsid w:val="25DC601F"/>
    <w:rsid w:val="261D2854"/>
    <w:rsid w:val="26230AA6"/>
    <w:rsid w:val="27343B3C"/>
    <w:rsid w:val="274A691D"/>
    <w:rsid w:val="274B422A"/>
    <w:rsid w:val="27D969FE"/>
    <w:rsid w:val="27F50769"/>
    <w:rsid w:val="28025D05"/>
    <w:rsid w:val="285A6E3F"/>
    <w:rsid w:val="285E69AD"/>
    <w:rsid w:val="2885072D"/>
    <w:rsid w:val="289B2C2F"/>
    <w:rsid w:val="28A00E86"/>
    <w:rsid w:val="29181D24"/>
    <w:rsid w:val="295F08CA"/>
    <w:rsid w:val="2A6853E9"/>
    <w:rsid w:val="2A732529"/>
    <w:rsid w:val="2B0F3F76"/>
    <w:rsid w:val="2B10286C"/>
    <w:rsid w:val="2B2039AB"/>
    <w:rsid w:val="2B230067"/>
    <w:rsid w:val="2B450129"/>
    <w:rsid w:val="2B5D3F1F"/>
    <w:rsid w:val="2BAF78F0"/>
    <w:rsid w:val="2BB30F61"/>
    <w:rsid w:val="2BD41A34"/>
    <w:rsid w:val="2C2A057A"/>
    <w:rsid w:val="2CA205E4"/>
    <w:rsid w:val="2CC75556"/>
    <w:rsid w:val="2CFD060A"/>
    <w:rsid w:val="2D4E6B12"/>
    <w:rsid w:val="2DEF74EF"/>
    <w:rsid w:val="2E0F17DE"/>
    <w:rsid w:val="2E7D5019"/>
    <w:rsid w:val="2E94734F"/>
    <w:rsid w:val="2EEA1561"/>
    <w:rsid w:val="2EF7411B"/>
    <w:rsid w:val="2F256F9E"/>
    <w:rsid w:val="2F3B2D01"/>
    <w:rsid w:val="2F3B6CF7"/>
    <w:rsid w:val="2F541DF4"/>
    <w:rsid w:val="2F7B3EE1"/>
    <w:rsid w:val="302A2BB7"/>
    <w:rsid w:val="30792F87"/>
    <w:rsid w:val="309C747F"/>
    <w:rsid w:val="30EC3686"/>
    <w:rsid w:val="310C1E70"/>
    <w:rsid w:val="323B39BA"/>
    <w:rsid w:val="323D408C"/>
    <w:rsid w:val="330A52AA"/>
    <w:rsid w:val="33351C28"/>
    <w:rsid w:val="336F07E0"/>
    <w:rsid w:val="33741D5C"/>
    <w:rsid w:val="33A635E3"/>
    <w:rsid w:val="34A361AE"/>
    <w:rsid w:val="3559080C"/>
    <w:rsid w:val="355F7F5A"/>
    <w:rsid w:val="361B0156"/>
    <w:rsid w:val="365F12A3"/>
    <w:rsid w:val="36990B23"/>
    <w:rsid w:val="3713487D"/>
    <w:rsid w:val="37613664"/>
    <w:rsid w:val="3775290C"/>
    <w:rsid w:val="38164506"/>
    <w:rsid w:val="38D63B77"/>
    <w:rsid w:val="38D96D4B"/>
    <w:rsid w:val="395563D2"/>
    <w:rsid w:val="3964356F"/>
    <w:rsid w:val="39845F74"/>
    <w:rsid w:val="39D431FC"/>
    <w:rsid w:val="3A25491E"/>
    <w:rsid w:val="3A4C23F1"/>
    <w:rsid w:val="3A7655A8"/>
    <w:rsid w:val="3A8852EC"/>
    <w:rsid w:val="3B6B3E39"/>
    <w:rsid w:val="3B723C24"/>
    <w:rsid w:val="3B90771B"/>
    <w:rsid w:val="3BF520C9"/>
    <w:rsid w:val="3BF5738A"/>
    <w:rsid w:val="3C2B6A37"/>
    <w:rsid w:val="3C545628"/>
    <w:rsid w:val="3D42473E"/>
    <w:rsid w:val="3D4D36CC"/>
    <w:rsid w:val="3D6B25D9"/>
    <w:rsid w:val="3D72260B"/>
    <w:rsid w:val="3DBB5F38"/>
    <w:rsid w:val="3DC223A3"/>
    <w:rsid w:val="3DD248FF"/>
    <w:rsid w:val="3DD41894"/>
    <w:rsid w:val="3E957370"/>
    <w:rsid w:val="3EB06756"/>
    <w:rsid w:val="3EBD09E3"/>
    <w:rsid w:val="3EE11167"/>
    <w:rsid w:val="3F3A7B0C"/>
    <w:rsid w:val="3FC539D9"/>
    <w:rsid w:val="3FC552EA"/>
    <w:rsid w:val="404D5BD3"/>
    <w:rsid w:val="4104118F"/>
    <w:rsid w:val="41294BA5"/>
    <w:rsid w:val="41FF44F0"/>
    <w:rsid w:val="420E2E82"/>
    <w:rsid w:val="42153F68"/>
    <w:rsid w:val="4236225D"/>
    <w:rsid w:val="42F138E7"/>
    <w:rsid w:val="4313180F"/>
    <w:rsid w:val="43320895"/>
    <w:rsid w:val="43AE2D5A"/>
    <w:rsid w:val="43B67919"/>
    <w:rsid w:val="43C131EA"/>
    <w:rsid w:val="43F357CA"/>
    <w:rsid w:val="4416575A"/>
    <w:rsid w:val="442465E9"/>
    <w:rsid w:val="443414EB"/>
    <w:rsid w:val="44616366"/>
    <w:rsid w:val="446D3117"/>
    <w:rsid w:val="44B45395"/>
    <w:rsid w:val="44D92F09"/>
    <w:rsid w:val="44FC7C83"/>
    <w:rsid w:val="45407D5D"/>
    <w:rsid w:val="46201AF3"/>
    <w:rsid w:val="46841F1D"/>
    <w:rsid w:val="46A165C4"/>
    <w:rsid w:val="46D546C7"/>
    <w:rsid w:val="471D20BB"/>
    <w:rsid w:val="4730782D"/>
    <w:rsid w:val="47530DED"/>
    <w:rsid w:val="484E0355"/>
    <w:rsid w:val="48D13ABC"/>
    <w:rsid w:val="49415693"/>
    <w:rsid w:val="49F672FB"/>
    <w:rsid w:val="4A094822"/>
    <w:rsid w:val="4A825F4B"/>
    <w:rsid w:val="4B3C7FD8"/>
    <w:rsid w:val="4B9E26A1"/>
    <w:rsid w:val="4BA534B2"/>
    <w:rsid w:val="4BBC479C"/>
    <w:rsid w:val="4C8E4886"/>
    <w:rsid w:val="4CB45576"/>
    <w:rsid w:val="4CB702FA"/>
    <w:rsid w:val="4CBD6A73"/>
    <w:rsid w:val="4D4E3660"/>
    <w:rsid w:val="4D5A49D1"/>
    <w:rsid w:val="4D6177EF"/>
    <w:rsid w:val="4DA87FF5"/>
    <w:rsid w:val="4DB454E0"/>
    <w:rsid w:val="4E9F077D"/>
    <w:rsid w:val="4EF35A16"/>
    <w:rsid w:val="4EFB53E2"/>
    <w:rsid w:val="4F577533"/>
    <w:rsid w:val="4F5E00C6"/>
    <w:rsid w:val="4F65389C"/>
    <w:rsid w:val="4F764D53"/>
    <w:rsid w:val="4F7A4DA4"/>
    <w:rsid w:val="4FE90CC0"/>
    <w:rsid w:val="4FF66142"/>
    <w:rsid w:val="51005390"/>
    <w:rsid w:val="512B1D61"/>
    <w:rsid w:val="515665A0"/>
    <w:rsid w:val="51BD124B"/>
    <w:rsid w:val="52096FAB"/>
    <w:rsid w:val="53245760"/>
    <w:rsid w:val="53533EFA"/>
    <w:rsid w:val="537D4D33"/>
    <w:rsid w:val="53BA247C"/>
    <w:rsid w:val="542E6F61"/>
    <w:rsid w:val="54795F3C"/>
    <w:rsid w:val="5493560D"/>
    <w:rsid w:val="54EC4A10"/>
    <w:rsid w:val="54FB1129"/>
    <w:rsid w:val="556D2AFE"/>
    <w:rsid w:val="562432B7"/>
    <w:rsid w:val="568A322D"/>
    <w:rsid w:val="569267F8"/>
    <w:rsid w:val="56B73028"/>
    <w:rsid w:val="57A1686A"/>
    <w:rsid w:val="57F52875"/>
    <w:rsid w:val="580E2877"/>
    <w:rsid w:val="58241BDA"/>
    <w:rsid w:val="587B5A9B"/>
    <w:rsid w:val="58993C60"/>
    <w:rsid w:val="59AD218D"/>
    <w:rsid w:val="59C93226"/>
    <w:rsid w:val="59CF06F2"/>
    <w:rsid w:val="5A50087C"/>
    <w:rsid w:val="5ADC6E7C"/>
    <w:rsid w:val="5BD05911"/>
    <w:rsid w:val="5C782AA0"/>
    <w:rsid w:val="5C871234"/>
    <w:rsid w:val="5CFF43D0"/>
    <w:rsid w:val="5D70256B"/>
    <w:rsid w:val="5D871C19"/>
    <w:rsid w:val="5DB43DE8"/>
    <w:rsid w:val="5DF43A3E"/>
    <w:rsid w:val="5EE41E88"/>
    <w:rsid w:val="6021486B"/>
    <w:rsid w:val="604B549E"/>
    <w:rsid w:val="605D0012"/>
    <w:rsid w:val="608451CB"/>
    <w:rsid w:val="609C773B"/>
    <w:rsid w:val="60A94911"/>
    <w:rsid w:val="611F6CA9"/>
    <w:rsid w:val="61332B31"/>
    <w:rsid w:val="61555611"/>
    <w:rsid w:val="618E29BC"/>
    <w:rsid w:val="61981E9A"/>
    <w:rsid w:val="62742140"/>
    <w:rsid w:val="62A30361"/>
    <w:rsid w:val="62C51A65"/>
    <w:rsid w:val="62C931FA"/>
    <w:rsid w:val="6378465E"/>
    <w:rsid w:val="646448EA"/>
    <w:rsid w:val="64796676"/>
    <w:rsid w:val="65517D7D"/>
    <w:rsid w:val="65636611"/>
    <w:rsid w:val="6564594C"/>
    <w:rsid w:val="658C05DC"/>
    <w:rsid w:val="658C4478"/>
    <w:rsid w:val="65E3505B"/>
    <w:rsid w:val="66320890"/>
    <w:rsid w:val="668F1040"/>
    <w:rsid w:val="66E8081D"/>
    <w:rsid w:val="66F651FB"/>
    <w:rsid w:val="67053C77"/>
    <w:rsid w:val="676517CD"/>
    <w:rsid w:val="67CF6830"/>
    <w:rsid w:val="68211B28"/>
    <w:rsid w:val="688857CE"/>
    <w:rsid w:val="68AC070B"/>
    <w:rsid w:val="698C0B13"/>
    <w:rsid w:val="6A9A2265"/>
    <w:rsid w:val="6B4776CF"/>
    <w:rsid w:val="6BD550E2"/>
    <w:rsid w:val="6C5B2F5C"/>
    <w:rsid w:val="6C5C15B8"/>
    <w:rsid w:val="6C65053F"/>
    <w:rsid w:val="6CF028CC"/>
    <w:rsid w:val="6D3623FE"/>
    <w:rsid w:val="6D490255"/>
    <w:rsid w:val="6D8D62CA"/>
    <w:rsid w:val="6DF90224"/>
    <w:rsid w:val="6E3E3148"/>
    <w:rsid w:val="6E674133"/>
    <w:rsid w:val="6ED27339"/>
    <w:rsid w:val="6EE7532F"/>
    <w:rsid w:val="6F146C24"/>
    <w:rsid w:val="6F6D51A0"/>
    <w:rsid w:val="6F8F596E"/>
    <w:rsid w:val="7014078C"/>
    <w:rsid w:val="70843292"/>
    <w:rsid w:val="70F30FFA"/>
    <w:rsid w:val="71181C93"/>
    <w:rsid w:val="717D567C"/>
    <w:rsid w:val="722A60B9"/>
    <w:rsid w:val="72B5218F"/>
    <w:rsid w:val="72BC71AD"/>
    <w:rsid w:val="72FC5C24"/>
    <w:rsid w:val="732350E0"/>
    <w:rsid w:val="73244658"/>
    <w:rsid w:val="73375C5D"/>
    <w:rsid w:val="737E0905"/>
    <w:rsid w:val="73977F91"/>
    <w:rsid w:val="73D4425B"/>
    <w:rsid w:val="741A1BC6"/>
    <w:rsid w:val="74506FD9"/>
    <w:rsid w:val="74695BC0"/>
    <w:rsid w:val="74827607"/>
    <w:rsid w:val="74916C9B"/>
    <w:rsid w:val="74C42E96"/>
    <w:rsid w:val="74D01B49"/>
    <w:rsid w:val="74F92591"/>
    <w:rsid w:val="75107E9E"/>
    <w:rsid w:val="75275BCA"/>
    <w:rsid w:val="760A0BF1"/>
    <w:rsid w:val="761C7FD8"/>
    <w:rsid w:val="762F31E7"/>
    <w:rsid w:val="76450AFD"/>
    <w:rsid w:val="76D14C2F"/>
    <w:rsid w:val="77180575"/>
    <w:rsid w:val="772C574B"/>
    <w:rsid w:val="77726A1B"/>
    <w:rsid w:val="78045AB7"/>
    <w:rsid w:val="781A1EB7"/>
    <w:rsid w:val="782C649E"/>
    <w:rsid w:val="786D4474"/>
    <w:rsid w:val="78CB058E"/>
    <w:rsid w:val="78FC7B1D"/>
    <w:rsid w:val="79150E22"/>
    <w:rsid w:val="79182213"/>
    <w:rsid w:val="79B4192A"/>
    <w:rsid w:val="79F7628E"/>
    <w:rsid w:val="7A3706A3"/>
    <w:rsid w:val="7ACB113C"/>
    <w:rsid w:val="7AF47FC0"/>
    <w:rsid w:val="7B1132C5"/>
    <w:rsid w:val="7B356164"/>
    <w:rsid w:val="7B804039"/>
    <w:rsid w:val="7B91544D"/>
    <w:rsid w:val="7BF442CB"/>
    <w:rsid w:val="7BF9527C"/>
    <w:rsid w:val="7CB207FD"/>
    <w:rsid w:val="7D0473BA"/>
    <w:rsid w:val="7D32474B"/>
    <w:rsid w:val="7D960C21"/>
    <w:rsid w:val="7DD63576"/>
    <w:rsid w:val="7EF74FBA"/>
    <w:rsid w:val="7F193001"/>
    <w:rsid w:val="7F7748AE"/>
    <w:rsid w:val="7FB915FB"/>
    <w:rsid w:val="7FD56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jc w:val="left"/>
    </w:pPr>
    <w:rPr>
      <w:rFonts w:ascii="宋体" w:hAnsi="宋体" w:eastAsia="宋体" w:cs="Times New Roman"/>
      <w:kern w:val="2"/>
      <w:sz w:val="24"/>
      <w:szCs w:val="22"/>
      <w:lang w:val="en-US" w:eastAsia="zh-CN" w:bidi="ar-SA"/>
    </w:rPr>
  </w:style>
  <w:style w:type="paragraph" w:styleId="5">
    <w:name w:val="heading 1"/>
    <w:basedOn w:val="1"/>
    <w:next w:val="1"/>
    <w:link w:val="25"/>
    <w:qFormat/>
    <w:uiPriority w:val="0"/>
    <w:pPr>
      <w:keepNext/>
      <w:keepLines/>
      <w:widowControl w:val="0"/>
      <w:adjustRightInd/>
      <w:spacing w:before="340" w:after="330" w:line="360" w:lineRule="auto"/>
      <w:jc w:val="left"/>
      <w:textAlignment w:val="auto"/>
      <w:outlineLvl w:val="0"/>
    </w:pPr>
    <w:rPr>
      <w:rFonts w:ascii="仿宋" w:hAnsi="仿宋" w:eastAsia="仿宋"/>
      <w:b/>
      <w:bCs/>
      <w:kern w:val="44"/>
      <w:sz w:val="30"/>
      <w:szCs w:val="44"/>
    </w:rPr>
  </w:style>
  <w:style w:type="paragraph" w:styleId="6">
    <w:name w:val="heading 2"/>
    <w:basedOn w:val="1"/>
    <w:next w:val="1"/>
    <w:link w:val="26"/>
    <w:semiHidden/>
    <w:unhideWhenUsed/>
    <w:qFormat/>
    <w:uiPriority w:val="0"/>
    <w:pPr>
      <w:keepNext/>
      <w:keepLines/>
      <w:spacing w:before="260" w:beforeLines="0" w:after="260" w:afterLines="0" w:line="500" w:lineRule="atLeast"/>
      <w:outlineLvl w:val="1"/>
    </w:pPr>
    <w:rPr>
      <w:rFonts w:ascii="仿宋_GB2312" w:hAnsi="仿宋_GB2312" w:eastAsia="仿宋_GB2312"/>
      <w:b/>
      <w:bCs/>
      <w:sz w:val="30"/>
      <w:szCs w:val="32"/>
    </w:rPr>
  </w:style>
  <w:style w:type="paragraph" w:styleId="7">
    <w:name w:val="heading 3"/>
    <w:basedOn w:val="1"/>
    <w:next w:val="1"/>
    <w:link w:val="27"/>
    <w:semiHidden/>
    <w:unhideWhenUsed/>
    <w:qFormat/>
    <w:uiPriority w:val="0"/>
    <w:pPr>
      <w:keepNext/>
      <w:keepLines/>
      <w:adjustRightInd/>
      <w:spacing w:before="100" w:beforeLines="100" w:line="300" w:lineRule="atLeast"/>
      <w:ind w:firstLine="600" w:firstLineChars="200"/>
      <w:jc w:val="both"/>
      <w:textAlignment w:val="auto"/>
      <w:outlineLvl w:val="2"/>
    </w:pPr>
    <w:rPr>
      <w:rFonts w:ascii="Times New Roman" w:hAnsi="Times New Roman" w:eastAsia="黑体"/>
      <w:bCs/>
      <w:sz w:val="28"/>
      <w:szCs w:val="32"/>
    </w:rPr>
  </w:style>
  <w:style w:type="paragraph" w:styleId="8">
    <w:name w:val="heading 4"/>
    <w:basedOn w:val="1"/>
    <w:next w:val="1"/>
    <w:link w:val="29"/>
    <w:semiHidden/>
    <w:unhideWhenUsed/>
    <w:qFormat/>
    <w:uiPriority w:val="0"/>
    <w:pPr>
      <w:keepNext/>
      <w:keepLines/>
      <w:numPr>
        <w:ilvl w:val="3"/>
        <w:numId w:val="1"/>
      </w:numPr>
      <w:spacing w:beforeLines="0" w:beforeAutospacing="0" w:afterLines="0" w:afterAutospacing="0" w:line="640" w:lineRule="atLeast"/>
      <w:outlineLvl w:val="3"/>
    </w:pPr>
    <w:rPr>
      <w:rFonts w:ascii="Arial" w:hAnsi="Arial" w:eastAsia="宋体"/>
      <w:bCs/>
      <w:szCs w:val="24"/>
    </w:rPr>
  </w:style>
  <w:style w:type="paragraph" w:styleId="9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10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11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12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3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22">
    <w:name w:val="Default Paragraph Font"/>
    <w:link w:val="23"/>
    <w:semiHidden/>
    <w:qFormat/>
    <w:uiPriority w:val="0"/>
    <w:rPr>
      <w:rFonts w:ascii="Calibri" w:hAnsi="Calibri" w:cs="仿宋_GB2312"/>
      <w:kern w:val="2"/>
      <w:sz w:val="24"/>
      <w:szCs w:val="28"/>
    </w:rPr>
  </w:style>
  <w:style w:type="table" w:default="1" w:styleId="2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 w:afterLines="0"/>
      <w:ind w:left="480" w:leftChars="200" w:firstLine="210" w:firstLineChars="100"/>
    </w:pPr>
    <w:rPr>
      <w:rFonts w:hAnsi="方正粗黑宋简体"/>
      <w:sz w:val="28"/>
      <w:lang w:eastAsia="zh-TW"/>
    </w:rPr>
  </w:style>
  <w:style w:type="paragraph" w:styleId="3">
    <w:name w:val="Body Text Indent"/>
    <w:basedOn w:val="1"/>
    <w:next w:val="4"/>
    <w:qFormat/>
    <w:uiPriority w:val="99"/>
    <w:pPr>
      <w:spacing w:line="500" w:lineRule="exact"/>
      <w:ind w:left="1588" w:leftChars="832" w:firstLine="433" w:firstLineChars="196"/>
    </w:pPr>
    <w:rPr>
      <w:rFonts w:ascii="方正粗黑宋简体" w:hAnsi="方正粗黑宋简体"/>
      <w:sz w:val="20"/>
      <w:szCs w:val="20"/>
    </w:r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14">
    <w:name w:val="Normal Indent"/>
    <w:basedOn w:val="1"/>
    <w:qFormat/>
    <w:uiPriority w:val="0"/>
    <w:pPr>
      <w:ind w:firstLine="420" w:firstLineChars="200"/>
    </w:pPr>
  </w:style>
  <w:style w:type="paragraph" w:styleId="15">
    <w:name w:val="Document Map"/>
    <w:basedOn w:val="1"/>
    <w:qFormat/>
    <w:uiPriority w:val="0"/>
    <w:pPr>
      <w:shd w:val="clear" w:color="auto" w:fill="000080"/>
    </w:pPr>
  </w:style>
  <w:style w:type="paragraph" w:styleId="16">
    <w:name w:val="toa heading"/>
    <w:basedOn w:val="1"/>
    <w:next w:val="1"/>
    <w:qFormat/>
    <w:uiPriority w:val="0"/>
    <w:pPr>
      <w:widowControl w:val="0"/>
      <w:spacing w:before="120"/>
      <w:jc w:val="both"/>
    </w:pPr>
    <w:rPr>
      <w:rFonts w:ascii="Arial" w:hAnsi="Arial"/>
      <w:kern w:val="2"/>
      <w:sz w:val="24"/>
    </w:rPr>
  </w:style>
  <w:style w:type="paragraph" w:styleId="17">
    <w:name w:val="Body Text"/>
    <w:basedOn w:val="1"/>
    <w:link w:val="28"/>
    <w:qFormat/>
    <w:uiPriority w:val="0"/>
    <w:pPr>
      <w:spacing w:after="120" w:afterLines="0" w:afterAutospacing="0"/>
      <w:jc w:val="center"/>
    </w:pPr>
    <w:rPr>
      <w:rFonts w:cs="Times New Roman"/>
      <w:b/>
    </w:rPr>
  </w:style>
  <w:style w:type="paragraph" w:styleId="18">
    <w:name w:val="index 4"/>
    <w:basedOn w:val="1"/>
    <w:next w:val="1"/>
    <w:qFormat/>
    <w:uiPriority w:val="0"/>
    <w:pPr>
      <w:ind w:left="600" w:leftChars="600"/>
    </w:pPr>
  </w:style>
  <w:style w:type="paragraph" w:styleId="19">
    <w:name w:val="toc 1"/>
    <w:basedOn w:val="1"/>
    <w:next w:val="1"/>
    <w:qFormat/>
    <w:uiPriority w:val="0"/>
  </w:style>
  <w:style w:type="paragraph" w:styleId="20">
    <w:name w:val="Body Text First Indent"/>
    <w:basedOn w:val="17"/>
    <w:qFormat/>
    <w:uiPriority w:val="0"/>
    <w:pPr>
      <w:ind w:firstLine="420" w:firstLineChars="100"/>
    </w:pPr>
  </w:style>
  <w:style w:type="paragraph" w:customStyle="1" w:styleId="23">
    <w:name w:val=" Char"/>
    <w:basedOn w:val="1"/>
    <w:link w:val="22"/>
    <w:qFormat/>
    <w:uiPriority w:val="0"/>
    <w:pPr>
      <w:widowControl w:val="0"/>
      <w:jc w:val="both"/>
    </w:pPr>
    <w:rPr>
      <w:rFonts w:ascii="Cambria" w:eastAsia="Cambria"/>
      <w:b/>
      <w:kern w:val="2"/>
      <w:sz w:val="32"/>
      <w:szCs w:val="32"/>
    </w:rPr>
  </w:style>
  <w:style w:type="paragraph" w:customStyle="1" w:styleId="24">
    <w:name w:val="Char"/>
    <w:basedOn w:val="15"/>
    <w:link w:val="22"/>
    <w:qFormat/>
    <w:uiPriority w:val="0"/>
    <w:pPr>
      <w:widowControl w:val="0"/>
      <w:jc w:val="both"/>
    </w:pPr>
    <w:rPr>
      <w:rFonts w:ascii="Calibri" w:hAnsi="Calibri" w:cs="仿宋_GB2312"/>
      <w:kern w:val="2"/>
      <w:sz w:val="24"/>
      <w:szCs w:val="28"/>
    </w:rPr>
  </w:style>
  <w:style w:type="character" w:customStyle="1" w:styleId="25">
    <w:name w:val="标题 1 Char"/>
    <w:link w:val="5"/>
    <w:qFormat/>
    <w:uiPriority w:val="0"/>
    <w:rPr>
      <w:rFonts w:ascii="仿宋" w:hAnsi="仿宋" w:eastAsia="仿宋"/>
      <w:b/>
      <w:bCs/>
      <w:kern w:val="44"/>
      <w:sz w:val="44"/>
      <w:szCs w:val="44"/>
    </w:rPr>
  </w:style>
  <w:style w:type="character" w:customStyle="1" w:styleId="26">
    <w:name w:val="标题 2 Char"/>
    <w:link w:val="6"/>
    <w:qFormat/>
    <w:uiPriority w:val="0"/>
    <w:rPr>
      <w:rFonts w:ascii="Arial" w:hAnsi="Arial" w:eastAsia="宋体"/>
      <w:b/>
      <w:bCs/>
      <w:sz w:val="30"/>
      <w:szCs w:val="32"/>
    </w:rPr>
  </w:style>
  <w:style w:type="character" w:customStyle="1" w:styleId="27">
    <w:name w:val="标题 3 Char"/>
    <w:link w:val="7"/>
    <w:qFormat/>
    <w:uiPriority w:val="0"/>
    <w:rPr>
      <w:rFonts w:ascii="Times New Roman" w:hAnsi="Times New Roman" w:eastAsia="黑体"/>
      <w:bCs/>
      <w:kern w:val="2"/>
      <w:sz w:val="24"/>
      <w:szCs w:val="32"/>
    </w:rPr>
  </w:style>
  <w:style w:type="character" w:customStyle="1" w:styleId="28">
    <w:name w:val="正文文本 Char"/>
    <w:link w:val="17"/>
    <w:qFormat/>
    <w:uiPriority w:val="99"/>
    <w:rPr>
      <w:rFonts w:eastAsia="仿宋_GB2312" w:cs="Times New Roman"/>
      <w:b/>
    </w:rPr>
  </w:style>
  <w:style w:type="character" w:customStyle="1" w:styleId="29">
    <w:name w:val="标题 4 Char"/>
    <w:link w:val="8"/>
    <w:qFormat/>
    <w:uiPriority w:val="0"/>
    <w:rPr>
      <w:rFonts w:ascii="Arial" w:hAnsi="Arial" w:eastAsia="宋体"/>
      <w:bCs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2021-11-19T00:55:00Z</dcterms:created>
  <dc:creator>Corgi </dc:creator>
  <cp:lastModifiedBy>Corgi </cp:lastModifiedBy>
  <dcterms:modified xsi:type="dcterms:W3CDTF">2021-11-19T00:58:17Z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4F9E91C7AB894FFB9DDD8873B593367F</vt:lpwstr>
  </property>
</Properties>
</file>