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b/>
          <w:bCs w:val="0"/>
          <w:color w:val="auto"/>
          <w:sz w:val="28"/>
          <w:szCs w:val="28"/>
          <w:highlight w:val="none"/>
          <w:lang w:val="en-US" w:eastAsia="zh-CN"/>
        </w:rPr>
      </w:pPr>
      <w:r>
        <w:rPr>
          <w:rFonts w:hint="eastAsia"/>
          <w:b/>
          <w:bCs w:val="0"/>
          <w:color w:val="auto"/>
          <w:sz w:val="28"/>
          <w:szCs w:val="28"/>
          <w:highlight w:val="none"/>
          <w:lang w:val="en-US" w:eastAsia="zh-CN"/>
        </w:rPr>
        <w:t>济南市公安局政务信息资源共享及数据运维服务项目竞争性磋商公告</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济南市公安局政务信息资源共享及数据运维服务项目的潜在供应商应按本公告要求获取磋商文件，并于</w:t>
      </w:r>
      <w:r>
        <w:rPr>
          <w:rFonts w:hint="eastAsia"/>
          <w:b/>
          <w:bCs w:val="0"/>
          <w:color w:val="auto"/>
          <w:highlight w:val="none"/>
          <w:lang w:val="en-US" w:eastAsia="zh-CN"/>
        </w:rPr>
        <w:t>2021年11月10日09时30分</w:t>
      </w:r>
      <w:r>
        <w:rPr>
          <w:rFonts w:hint="eastAsia"/>
          <w:b/>
          <w:bCs w:val="0"/>
          <w:color w:val="auto"/>
          <w:highlight w:val="none"/>
          <w:lang w:val="en-US" w:eastAsia="zh-CN"/>
        </w:rPr>
        <w:t>（北京时间）</w:t>
      </w:r>
      <w:r>
        <w:rPr>
          <w:rFonts w:hint="eastAsia"/>
          <w:color w:val="auto"/>
          <w:highlight w:val="none"/>
          <w:lang w:val="en-US" w:eastAsia="zh-CN"/>
        </w:rPr>
        <w:t>前提交响应文件。</w:t>
      </w:r>
    </w:p>
    <w:p>
      <w:pPr>
        <w:keepNext w:val="0"/>
        <w:keepLines w:val="0"/>
        <w:pageBreakBefore w:val="0"/>
        <w:widowControl w:val="0"/>
        <w:kinsoku/>
        <w:wordWrap/>
        <w:overflowPunct/>
        <w:topLinePunct w:val="0"/>
        <w:autoSpaceDE/>
        <w:autoSpaceDN/>
        <w:bidi w:val="0"/>
        <w:spacing w:line="600" w:lineRule="atLeast"/>
        <w:ind w:left="0" w:leftChars="0" w:firstLine="0" w:firstLineChars="0"/>
        <w:textAlignment w:val="auto"/>
        <w:rPr>
          <w:rFonts w:hint="eastAsia"/>
          <w:b/>
          <w:bCs w:val="0"/>
          <w:color w:val="auto"/>
          <w:highlight w:val="none"/>
          <w:lang w:val="en-US" w:eastAsia="zh-CN"/>
        </w:rPr>
      </w:pPr>
      <w:r>
        <w:rPr>
          <w:rFonts w:hint="eastAsia"/>
          <w:b/>
          <w:bCs w:val="0"/>
          <w:color w:val="auto"/>
          <w:highlight w:val="none"/>
          <w:lang w:val="en-US" w:eastAsia="zh-CN"/>
        </w:rPr>
        <w:t xml:space="preserve"> </w:t>
      </w:r>
      <w:bookmarkStart w:id="0" w:name="_Toc11160"/>
      <w:bookmarkStart w:id="1" w:name="_Toc21991"/>
      <w:r>
        <w:rPr>
          <w:rFonts w:hint="eastAsia"/>
          <w:b/>
          <w:bCs w:val="0"/>
          <w:color w:val="auto"/>
          <w:highlight w:val="none"/>
          <w:lang w:val="en-US" w:eastAsia="zh-CN"/>
        </w:rPr>
        <w:t>一、项目基本情况</w:t>
      </w:r>
      <w:bookmarkEnd w:id="0"/>
      <w:bookmarkEnd w:id="1"/>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采购项目编号：SDLD2021CS050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采购项目名称：济南市公安局政务信息资源共享及数据运维服务项目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采购方式：竞争性磋商</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采购需求：详见磋商文件。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合同履行期限：详见磋商文件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本项目（是/否）接受联合体：否</w:t>
      </w:r>
    </w:p>
    <w:p>
      <w:pPr>
        <w:keepNext w:val="0"/>
        <w:keepLines w:val="0"/>
        <w:pageBreakBefore w:val="0"/>
        <w:widowControl w:val="0"/>
        <w:numPr>
          <w:ilvl w:val="0"/>
          <w:numId w:val="2"/>
        </w:numPr>
        <w:kinsoku/>
        <w:wordWrap/>
        <w:overflowPunct/>
        <w:topLinePunct w:val="0"/>
        <w:autoSpaceDE/>
        <w:autoSpaceDN/>
        <w:bidi w:val="0"/>
        <w:spacing w:line="600" w:lineRule="atLeast"/>
        <w:ind w:left="0" w:leftChars="0" w:firstLine="0" w:firstLineChars="0"/>
        <w:textAlignment w:val="auto"/>
        <w:rPr>
          <w:rFonts w:hint="eastAsia"/>
          <w:b/>
          <w:bCs w:val="0"/>
          <w:color w:val="auto"/>
          <w:highlight w:val="none"/>
          <w:lang w:val="en-US" w:eastAsia="zh-CN"/>
        </w:rPr>
      </w:pPr>
      <w:bookmarkStart w:id="2" w:name="_Toc4012"/>
      <w:bookmarkStart w:id="3" w:name="_Toc6014"/>
      <w:r>
        <w:rPr>
          <w:rFonts w:hint="eastAsia"/>
          <w:b/>
          <w:bCs w:val="0"/>
          <w:color w:val="auto"/>
          <w:highlight w:val="none"/>
          <w:lang w:val="en-US" w:eastAsia="zh-CN"/>
        </w:rPr>
        <w:t>申请人的资格要求：</w:t>
      </w:r>
      <w:bookmarkEnd w:id="2"/>
      <w:bookmarkEnd w:id="3"/>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842"/>
        <w:gridCol w:w="6549"/>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atLeast"/>
              <w:ind w:left="0" w:leftChars="0" w:firstLine="0" w:firstLineChars="0"/>
              <w:jc w:val="center"/>
              <w:textAlignment w:val="auto"/>
              <w:rPr>
                <w:rFonts w:hint="eastAsia"/>
                <w:color w:val="auto"/>
                <w:highlight w:val="none"/>
              </w:rPr>
            </w:pPr>
            <w:bookmarkStart w:id="4" w:name="_Toc14547_WPSOffice_Level2"/>
            <w:bookmarkStart w:id="5" w:name="_Toc2523_WPSOffice_Level2"/>
            <w:r>
              <w:rPr>
                <w:rFonts w:hint="eastAsia"/>
                <w:color w:val="auto"/>
                <w:highlight w:val="none"/>
              </w:rPr>
              <w:t>标包</w:t>
            </w:r>
          </w:p>
        </w:tc>
        <w:tc>
          <w:tcPr>
            <w:tcW w:w="842"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atLeast"/>
              <w:ind w:left="0" w:leftChars="0"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采购说明</w:t>
            </w:r>
          </w:p>
        </w:tc>
        <w:tc>
          <w:tcPr>
            <w:tcW w:w="6549"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atLeast"/>
              <w:ind w:firstLine="0" w:firstLineChars="0"/>
              <w:jc w:val="center"/>
              <w:textAlignment w:val="auto"/>
              <w:rPr>
                <w:rFonts w:hint="eastAsia"/>
                <w:color w:val="auto"/>
                <w:highlight w:val="none"/>
              </w:rPr>
            </w:pPr>
            <w:r>
              <w:rPr>
                <w:rFonts w:hint="eastAsia"/>
                <w:color w:val="auto"/>
                <w:highlight w:val="none"/>
              </w:rPr>
              <w:t>供应商资格要求</w:t>
            </w:r>
          </w:p>
        </w:tc>
        <w:tc>
          <w:tcPr>
            <w:tcW w:w="1335"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atLeast"/>
              <w:ind w:left="0" w:leftChars="0" w:firstLine="0" w:firstLineChars="0"/>
              <w:jc w:val="center"/>
              <w:textAlignment w:val="auto"/>
              <w:rPr>
                <w:rFonts w:hint="eastAsia" w:eastAsia="宋体"/>
                <w:color w:val="auto"/>
                <w:highlight w:val="none"/>
                <w:lang w:val="en-US" w:eastAsia="zh-CN"/>
              </w:rPr>
            </w:pPr>
            <w:r>
              <w:rPr>
                <w:rFonts w:hint="eastAsia"/>
                <w:color w:val="auto"/>
                <w:highlight w:val="none"/>
                <w:lang w:val="en-US" w:eastAsia="zh-CN"/>
              </w:rPr>
              <w:t>采购预算（万元）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5" w:hRule="atLeast"/>
          <w:jc w:val="center"/>
        </w:trPr>
        <w:tc>
          <w:tcPr>
            <w:tcW w:w="632" w:type="dxa"/>
            <w:noWrap w:val="0"/>
            <w:vAlign w:val="center"/>
          </w:tcPr>
          <w:p>
            <w:pPr>
              <w:keepNext w:val="0"/>
              <w:keepLines w:val="0"/>
              <w:pageBreakBefore w:val="0"/>
              <w:widowControl w:val="0"/>
              <w:kinsoku/>
              <w:wordWrap/>
              <w:overflowPunct/>
              <w:topLinePunct w:val="0"/>
              <w:autoSpaceDE/>
              <w:autoSpaceDN/>
              <w:bidi w:val="0"/>
              <w:spacing w:line="600" w:lineRule="atLeast"/>
              <w:ind w:left="0" w:leftChars="0" w:firstLine="0" w:firstLineChars="0"/>
              <w:jc w:val="center"/>
              <w:textAlignment w:val="auto"/>
              <w:rPr>
                <w:rFonts w:hint="eastAsia"/>
                <w:color w:val="auto"/>
                <w:highlight w:val="none"/>
              </w:rPr>
            </w:pPr>
            <w:r>
              <w:rPr>
                <w:rFonts w:hint="eastAsia"/>
                <w:color w:val="auto"/>
                <w:highlight w:val="none"/>
              </w:rPr>
              <w:t>A</w:t>
            </w:r>
          </w:p>
        </w:tc>
        <w:tc>
          <w:tcPr>
            <w:tcW w:w="842" w:type="dxa"/>
            <w:noWrap w:val="0"/>
            <w:vAlign w:val="center"/>
          </w:tcPr>
          <w:p>
            <w:pPr>
              <w:keepNext w:val="0"/>
              <w:keepLines w:val="0"/>
              <w:pageBreakBefore w:val="0"/>
              <w:widowControl w:val="0"/>
              <w:kinsoku/>
              <w:wordWrap/>
              <w:overflowPunct/>
              <w:topLinePunct w:val="0"/>
              <w:autoSpaceDE/>
              <w:autoSpaceDN/>
              <w:bidi w:val="0"/>
              <w:spacing w:line="600" w:lineRule="atLeast"/>
              <w:ind w:left="0" w:leftChars="0" w:firstLine="0" w:firstLineChars="0"/>
              <w:jc w:val="center"/>
              <w:textAlignment w:val="auto"/>
              <w:rPr>
                <w:rFonts w:hint="default"/>
                <w:color w:val="auto"/>
                <w:highlight w:val="none"/>
                <w:lang w:val="en-US"/>
              </w:rPr>
            </w:pPr>
            <w:r>
              <w:rPr>
                <w:rFonts w:hint="eastAsia"/>
                <w:color w:val="auto"/>
                <w:highlight w:val="none"/>
                <w:lang w:val="en-US" w:eastAsia="zh-CN"/>
              </w:rPr>
              <w:t>政务信息资源共享服务</w:t>
            </w:r>
          </w:p>
        </w:tc>
        <w:tc>
          <w:tcPr>
            <w:tcW w:w="6549" w:type="dxa"/>
            <w:vMerge w:val="restart"/>
            <w:noWrap w:val="0"/>
            <w:vAlign w:val="center"/>
          </w:tcPr>
          <w:p>
            <w:pPr>
              <w:ind w:left="0" w:leftChars="0" w:firstLine="0" w:firstLineChars="0"/>
              <w:rPr>
                <w:rFonts w:hint="eastAsia"/>
                <w:color w:val="auto"/>
                <w:highlight w:val="none"/>
                <w:lang w:val="en-US" w:eastAsia="zh-CN"/>
              </w:rPr>
            </w:pPr>
            <w:r>
              <w:rPr>
                <w:rFonts w:hint="eastAsia"/>
                <w:color w:val="auto"/>
                <w:highlight w:val="none"/>
                <w:lang w:val="en-US" w:eastAsia="zh-CN"/>
              </w:rPr>
              <w:t>1.符合《中华人民共和国政府采购法》第二十二条规定的条件；</w:t>
            </w:r>
          </w:p>
          <w:p>
            <w:pPr>
              <w:ind w:left="0" w:leftChars="0" w:firstLine="0" w:firstLineChars="0"/>
              <w:rPr>
                <w:rFonts w:hint="eastAsia"/>
                <w:color w:val="auto"/>
                <w:highlight w:val="none"/>
                <w:lang w:val="en-US" w:eastAsia="zh-CN"/>
              </w:rPr>
            </w:pPr>
            <w:r>
              <w:rPr>
                <w:rFonts w:hint="eastAsia"/>
                <w:color w:val="auto"/>
                <w:highlight w:val="none"/>
                <w:lang w:val="en-US" w:eastAsia="zh-CN"/>
              </w:rPr>
              <w:t>2.供应商须具有独立承担民事责任的能力，在中国境内注册的独立法人或依法成立的其他组织或者自然人，持有合法营业执照，且在人员、设备、资金等方面具有承担本项目的能力和经验；</w:t>
            </w:r>
          </w:p>
          <w:p>
            <w:pPr>
              <w:ind w:left="0" w:leftChars="0" w:firstLine="0" w:firstLineChars="0"/>
              <w:rPr>
                <w:rFonts w:hint="eastAsia"/>
                <w:color w:val="auto"/>
                <w:highlight w:val="none"/>
                <w:lang w:val="en-US" w:eastAsia="zh-CN"/>
              </w:rPr>
            </w:pPr>
            <w:r>
              <w:rPr>
                <w:rFonts w:hint="eastAsia"/>
                <w:color w:val="auto"/>
                <w:highlight w:val="none"/>
                <w:lang w:val="en-US" w:eastAsia="zh-CN"/>
              </w:rPr>
              <w:t xml:space="preserve">3.根据财政部《关于在政府采购活动中查询及使用信用记录有关问题的通知》（财库〔2016〕125 号）号文等有关规定，对列入失信被执行人、重大税收违法案件当事人名单、 政府采购严重违法失信行为记录名单及其他不符合《中华人民共和国政府采购法》第二十二条规定条件的供应商，应当拒绝其参与政府采购活动； </w:t>
            </w:r>
          </w:p>
          <w:p>
            <w:pPr>
              <w:ind w:left="0" w:leftChars="0" w:firstLine="0" w:firstLineChars="0"/>
              <w:rPr>
                <w:rFonts w:hint="eastAsia" w:ascii="宋体" w:hAnsi="宋体" w:eastAsia="宋体"/>
                <w:bCs/>
                <w:color w:val="auto"/>
                <w:highlight w:val="none"/>
                <w:lang w:val="en-US" w:eastAsia="zh-CN"/>
              </w:rPr>
            </w:pPr>
            <w:r>
              <w:rPr>
                <w:rFonts w:hint="eastAsia" w:ascii="宋体" w:hAnsi="宋体" w:eastAsia="宋体"/>
                <w:bCs/>
                <w:color w:val="auto"/>
                <w:highlight w:val="none"/>
                <w:lang w:val="en-US" w:eastAsia="zh-CN"/>
              </w:rPr>
              <w:t>4.本项目不接受联合体报价；</w:t>
            </w:r>
          </w:p>
          <w:p>
            <w:pPr>
              <w:ind w:left="0" w:leftChars="0" w:firstLine="0" w:firstLineChars="0"/>
              <w:rPr>
                <w:rFonts w:hint="eastAsia" w:ascii="宋体" w:hAnsi="宋体" w:eastAsia="宋体"/>
                <w:bCs/>
                <w:color w:val="auto"/>
                <w:highlight w:val="none"/>
                <w:lang w:val="en-US" w:eastAsia="zh-CN"/>
              </w:rPr>
            </w:pPr>
            <w:r>
              <w:rPr>
                <w:rFonts w:hint="eastAsia" w:ascii="宋体" w:hAnsi="宋体" w:eastAsia="宋体"/>
                <w:bCs/>
                <w:color w:val="auto"/>
                <w:highlight w:val="none"/>
                <w:lang w:val="en-US" w:eastAsia="zh-CN"/>
              </w:rPr>
              <w:t>5.法律法规对合格报价人的其他要求、规定；</w:t>
            </w:r>
          </w:p>
          <w:p>
            <w:pPr>
              <w:ind w:left="0" w:leftChars="0" w:firstLine="0" w:firstLineChars="0"/>
              <w:rPr>
                <w:rFonts w:hint="default"/>
                <w:color w:val="auto"/>
                <w:highlight w:val="none"/>
                <w:lang w:val="en-US"/>
              </w:rPr>
            </w:pPr>
            <w:r>
              <w:rPr>
                <w:rFonts w:hint="eastAsia" w:ascii="宋体" w:hAnsi="宋体" w:eastAsia="宋体"/>
                <w:bCs/>
                <w:color w:val="auto"/>
                <w:highlight w:val="none"/>
                <w:lang w:val="en-US" w:eastAsia="zh-CN"/>
              </w:rPr>
              <w:t>6.本</w:t>
            </w:r>
            <w:r>
              <w:rPr>
                <w:rFonts w:hint="eastAsia" w:ascii="宋体" w:hAnsi="宋体" w:eastAsia="宋体"/>
                <w:bCs/>
                <w:color w:val="auto"/>
                <w:highlight w:val="none"/>
                <w:lang w:val="en-US" w:eastAsia="zh-CN"/>
              </w:rPr>
              <w:t>项目两个包兼投</w:t>
            </w:r>
            <w:r>
              <w:rPr>
                <w:rFonts w:hint="eastAsia"/>
                <w:bCs/>
                <w:color w:val="auto"/>
                <w:highlight w:val="none"/>
                <w:lang w:val="en-US" w:eastAsia="zh-CN"/>
              </w:rPr>
              <w:t>兼中</w:t>
            </w:r>
            <w:r>
              <w:rPr>
                <w:rFonts w:hint="eastAsia" w:ascii="宋体" w:hAnsi="宋体" w:eastAsia="宋体"/>
                <w:bCs/>
                <w:color w:val="auto"/>
                <w:highlight w:val="none"/>
                <w:lang w:val="en-US" w:eastAsia="zh-CN"/>
              </w:rPr>
              <w:t>。</w:t>
            </w:r>
          </w:p>
        </w:tc>
        <w:tc>
          <w:tcPr>
            <w:tcW w:w="1335" w:type="dxa"/>
            <w:noWrap w:val="0"/>
            <w:vAlign w:val="center"/>
          </w:tcPr>
          <w:p>
            <w:pPr>
              <w:keepNext w:val="0"/>
              <w:keepLines w:val="0"/>
              <w:pageBreakBefore w:val="0"/>
              <w:widowControl w:val="0"/>
              <w:kinsoku/>
              <w:wordWrap/>
              <w:overflowPunct/>
              <w:topLinePunct w:val="0"/>
              <w:autoSpaceDE/>
              <w:autoSpaceDN/>
              <w:bidi w:val="0"/>
              <w:spacing w:line="600" w:lineRule="atLeast"/>
              <w:ind w:left="0" w:leftChars="0" w:firstLine="0" w:firstLineChars="0"/>
              <w:jc w:val="center"/>
              <w:textAlignment w:val="auto"/>
              <w:rPr>
                <w:rFonts w:hint="default"/>
                <w:color w:val="auto"/>
                <w:highlight w:val="none"/>
                <w:lang w:val="en-US" w:eastAsia="zh-CN"/>
              </w:rPr>
            </w:pPr>
            <w:r>
              <w:rPr>
                <w:rFonts w:hint="eastAsia"/>
                <w:color w:val="auto"/>
                <w:highlight w:val="none"/>
                <w:lang w:val="en-US" w:eastAsia="zh-CN"/>
              </w:rPr>
              <w:t>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32" w:type="dxa"/>
            <w:noWrap w:val="0"/>
            <w:vAlign w:val="center"/>
          </w:tcPr>
          <w:p>
            <w:pPr>
              <w:keepNext w:val="0"/>
              <w:keepLines w:val="0"/>
              <w:pageBreakBefore w:val="0"/>
              <w:widowControl w:val="0"/>
              <w:kinsoku/>
              <w:wordWrap/>
              <w:overflowPunct/>
              <w:topLinePunct w:val="0"/>
              <w:autoSpaceDE/>
              <w:autoSpaceDN/>
              <w:bidi w:val="0"/>
              <w:spacing w:line="600" w:lineRule="atLeast"/>
              <w:ind w:left="0" w:leftChars="0" w:firstLine="0" w:firstLineChars="0"/>
              <w:jc w:val="center"/>
              <w:textAlignment w:val="auto"/>
              <w:rPr>
                <w:rFonts w:hint="eastAsia" w:eastAsia="宋体"/>
                <w:color w:val="auto"/>
                <w:highlight w:val="none"/>
                <w:lang w:val="en-US" w:eastAsia="zh-CN"/>
              </w:rPr>
            </w:pPr>
            <w:r>
              <w:rPr>
                <w:rFonts w:hint="eastAsia"/>
                <w:color w:val="auto"/>
                <w:highlight w:val="none"/>
                <w:lang w:val="en-US" w:eastAsia="zh-CN"/>
              </w:rPr>
              <w:t>B</w:t>
            </w:r>
          </w:p>
        </w:tc>
        <w:tc>
          <w:tcPr>
            <w:tcW w:w="842" w:type="dxa"/>
            <w:noWrap w:val="0"/>
            <w:vAlign w:val="center"/>
          </w:tcPr>
          <w:p>
            <w:pPr>
              <w:keepNext w:val="0"/>
              <w:keepLines w:val="0"/>
              <w:pageBreakBefore w:val="0"/>
              <w:widowControl w:val="0"/>
              <w:kinsoku/>
              <w:wordWrap/>
              <w:overflowPunct/>
              <w:topLinePunct w:val="0"/>
              <w:autoSpaceDE/>
              <w:autoSpaceDN/>
              <w:bidi w:val="0"/>
              <w:spacing w:line="600" w:lineRule="atLeast"/>
              <w:ind w:left="0" w:leftChars="0" w:firstLine="0" w:firstLineChars="0"/>
              <w:jc w:val="center"/>
              <w:textAlignment w:val="auto"/>
              <w:rPr>
                <w:rFonts w:hint="default"/>
                <w:color w:val="auto"/>
                <w:highlight w:val="none"/>
                <w:lang w:val="en-US" w:eastAsia="zh-CN"/>
              </w:rPr>
            </w:pPr>
            <w:r>
              <w:rPr>
                <w:rFonts w:hint="eastAsia"/>
                <w:color w:val="auto"/>
                <w:highlight w:val="none"/>
                <w:lang w:val="en-US" w:eastAsia="zh-CN"/>
              </w:rPr>
              <w:t>数据运维服务</w:t>
            </w:r>
          </w:p>
        </w:tc>
        <w:tc>
          <w:tcPr>
            <w:tcW w:w="6549" w:type="dxa"/>
            <w:vMerge w:val="continue"/>
            <w:noWrap w:val="0"/>
            <w:vAlign w:val="center"/>
          </w:tcPr>
          <w:p>
            <w:pPr>
              <w:keepNext w:val="0"/>
              <w:keepLines w:val="0"/>
              <w:pageBreakBefore w:val="0"/>
              <w:widowControl w:val="0"/>
              <w:kinsoku/>
              <w:wordWrap/>
              <w:overflowPunct/>
              <w:topLinePunct w:val="0"/>
              <w:autoSpaceDE/>
              <w:autoSpaceDN/>
              <w:bidi w:val="0"/>
              <w:spacing w:line="600" w:lineRule="atLeast"/>
              <w:jc w:val="center"/>
              <w:textAlignment w:val="auto"/>
              <w:rPr>
                <w:rFonts w:hint="eastAsia"/>
                <w:color w:val="auto"/>
                <w:highlight w:val="none"/>
              </w:rPr>
            </w:pPr>
          </w:p>
        </w:tc>
        <w:tc>
          <w:tcPr>
            <w:tcW w:w="1335" w:type="dxa"/>
            <w:noWrap w:val="0"/>
            <w:vAlign w:val="center"/>
          </w:tcPr>
          <w:p>
            <w:pPr>
              <w:keepNext w:val="0"/>
              <w:keepLines w:val="0"/>
              <w:pageBreakBefore w:val="0"/>
              <w:widowControl w:val="0"/>
              <w:kinsoku/>
              <w:wordWrap/>
              <w:overflowPunct/>
              <w:topLinePunct w:val="0"/>
              <w:autoSpaceDE/>
              <w:autoSpaceDN/>
              <w:bidi w:val="0"/>
              <w:spacing w:line="600" w:lineRule="atLeast"/>
              <w:ind w:left="0" w:leftChars="0"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48.8</w:t>
            </w:r>
          </w:p>
        </w:tc>
      </w:tr>
      <w:bookmarkEnd w:id="4"/>
      <w:bookmarkEnd w:id="5"/>
    </w:tbl>
    <w:p>
      <w:pPr>
        <w:keepNext w:val="0"/>
        <w:keepLines w:val="0"/>
        <w:pageBreakBefore w:val="0"/>
        <w:widowControl w:val="0"/>
        <w:kinsoku/>
        <w:wordWrap/>
        <w:overflowPunct/>
        <w:topLinePunct w:val="0"/>
        <w:autoSpaceDE/>
        <w:autoSpaceDN/>
        <w:bidi w:val="0"/>
        <w:spacing w:line="600" w:lineRule="atLeast"/>
        <w:ind w:left="0" w:leftChars="0" w:firstLine="0" w:firstLineChars="0"/>
        <w:textAlignment w:val="auto"/>
        <w:rPr>
          <w:rFonts w:hint="eastAsia"/>
          <w:b/>
          <w:bCs w:val="0"/>
          <w:color w:val="auto"/>
          <w:highlight w:val="none"/>
          <w:lang w:val="en-US" w:eastAsia="zh-CN"/>
        </w:rPr>
      </w:pPr>
      <w:bookmarkStart w:id="6" w:name="_Toc3866"/>
      <w:bookmarkStart w:id="7" w:name="_Toc543"/>
      <w:r>
        <w:rPr>
          <w:rFonts w:hint="eastAsia"/>
          <w:b/>
          <w:bCs w:val="0"/>
          <w:color w:val="auto"/>
          <w:highlight w:val="none"/>
          <w:lang w:val="en-US" w:eastAsia="zh-CN"/>
        </w:rPr>
        <w:t>三、获取磋商文件</w:t>
      </w:r>
      <w:bookmarkEnd w:id="6"/>
      <w:bookmarkEnd w:id="7"/>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1.时间：</w:t>
      </w:r>
      <w:r>
        <w:rPr>
          <w:rFonts w:hint="eastAsia"/>
          <w:b/>
          <w:bCs w:val="0"/>
          <w:color w:val="auto"/>
          <w:highlight w:val="none"/>
          <w:lang w:val="en-US" w:eastAsia="zh-CN"/>
        </w:rPr>
        <w:t>2021年10月28日至 2021年11月3日</w:t>
      </w:r>
      <w:r>
        <w:rPr>
          <w:rFonts w:hint="eastAsia"/>
          <w:color w:val="auto"/>
          <w:highlight w:val="none"/>
          <w:lang w:val="en-US" w:eastAsia="zh-CN"/>
        </w:rPr>
        <w:t xml:space="preserve">每天 09:00-17:00（北京时间，法定节假日除外）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2.地点：济南市高新区工业南路59号中铁财智中心6号楼15楼财务室。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3.方式：凡有意参加本次政府采购项目的供应商，报名及领取竞争性磋商文件时必须携带：</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（1）法定代表人（负责人）的授权委托书及授权代表的身份证，若法定代表人（负责人）参加，仅提供法定代表人（负责人）的身份证明；</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（2）营业执照副本。</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注：以上资料提供原件及复印件一套加盖公章送至山东蓝盾招标代理有限公司现场报名。报名时提交的资料查验不代表资格审查的最终通过或合格。</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4.售价：300元/包（现金）。</w:t>
      </w:r>
    </w:p>
    <w:p>
      <w:pPr>
        <w:keepNext w:val="0"/>
        <w:keepLines w:val="0"/>
        <w:pageBreakBefore w:val="0"/>
        <w:widowControl w:val="0"/>
        <w:kinsoku/>
        <w:wordWrap/>
        <w:overflowPunct/>
        <w:topLinePunct w:val="0"/>
        <w:autoSpaceDE/>
        <w:autoSpaceDN/>
        <w:bidi w:val="0"/>
        <w:spacing w:line="600" w:lineRule="atLeast"/>
        <w:ind w:left="0" w:leftChars="0" w:firstLine="0" w:firstLineChars="0"/>
        <w:textAlignment w:val="auto"/>
        <w:rPr>
          <w:rFonts w:hint="eastAsia"/>
          <w:b/>
          <w:bCs w:val="0"/>
          <w:color w:val="auto"/>
          <w:highlight w:val="none"/>
          <w:lang w:val="en-US" w:eastAsia="zh-CN"/>
        </w:rPr>
      </w:pPr>
      <w:bookmarkStart w:id="8" w:name="_Toc19213"/>
      <w:bookmarkStart w:id="9" w:name="_Toc7342"/>
      <w:r>
        <w:rPr>
          <w:rFonts w:hint="eastAsia"/>
          <w:b/>
          <w:bCs w:val="0"/>
          <w:color w:val="auto"/>
          <w:highlight w:val="none"/>
          <w:lang w:val="en-US" w:eastAsia="zh-CN"/>
        </w:rPr>
        <w:t>四、响应文件提交</w:t>
      </w:r>
      <w:bookmarkEnd w:id="8"/>
      <w:bookmarkEnd w:id="9"/>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截止时间：</w:t>
      </w:r>
      <w:r>
        <w:rPr>
          <w:rFonts w:hint="eastAsia"/>
          <w:b/>
          <w:bCs w:val="0"/>
          <w:color w:val="auto"/>
          <w:highlight w:val="none"/>
          <w:lang w:val="en-US" w:eastAsia="zh-CN"/>
        </w:rPr>
        <w:t>2021年11月10日09时30分</w:t>
      </w:r>
      <w:r>
        <w:rPr>
          <w:rFonts w:hint="eastAsia"/>
          <w:color w:val="auto"/>
          <w:highlight w:val="none"/>
          <w:lang w:val="en-US" w:eastAsia="zh-CN"/>
        </w:rPr>
        <w:t xml:space="preserve">（北京时间）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提交响应文件方式：济南市高新区工业南路59号中铁财智中心6号楼15楼 </w:t>
      </w:r>
    </w:p>
    <w:p>
      <w:pPr>
        <w:keepNext w:val="0"/>
        <w:keepLines w:val="0"/>
        <w:pageBreakBefore w:val="0"/>
        <w:widowControl w:val="0"/>
        <w:kinsoku/>
        <w:wordWrap/>
        <w:overflowPunct/>
        <w:topLinePunct w:val="0"/>
        <w:autoSpaceDE/>
        <w:autoSpaceDN/>
        <w:bidi w:val="0"/>
        <w:spacing w:line="600" w:lineRule="atLeast"/>
        <w:ind w:left="0" w:leftChars="0" w:firstLine="0" w:firstLineChars="0"/>
        <w:textAlignment w:val="auto"/>
        <w:rPr>
          <w:rFonts w:hint="eastAsia"/>
          <w:b/>
          <w:bCs w:val="0"/>
          <w:color w:val="auto"/>
          <w:highlight w:val="none"/>
          <w:lang w:val="en-US" w:eastAsia="zh-CN"/>
        </w:rPr>
      </w:pPr>
      <w:bookmarkStart w:id="10" w:name="_Toc28877"/>
      <w:bookmarkStart w:id="11" w:name="_Toc17337"/>
      <w:r>
        <w:rPr>
          <w:rFonts w:hint="eastAsia"/>
          <w:b/>
          <w:bCs w:val="0"/>
          <w:color w:val="auto"/>
          <w:highlight w:val="none"/>
          <w:lang w:val="en-US" w:eastAsia="zh-CN"/>
        </w:rPr>
        <w:t>五、开启</w:t>
      </w:r>
      <w:bookmarkEnd w:id="10"/>
      <w:bookmarkEnd w:id="11"/>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时间：</w:t>
      </w:r>
      <w:r>
        <w:rPr>
          <w:rFonts w:hint="eastAsia"/>
          <w:b/>
          <w:bCs w:val="0"/>
          <w:color w:val="auto"/>
          <w:highlight w:val="none"/>
          <w:lang w:val="en-US" w:eastAsia="zh-CN"/>
        </w:rPr>
        <w:t>2021年11月10日09时30分</w:t>
      </w:r>
      <w:r>
        <w:rPr>
          <w:rFonts w:hint="eastAsia"/>
          <w:color w:val="auto"/>
          <w:highlight w:val="none"/>
          <w:lang w:val="en-US" w:eastAsia="zh-CN"/>
        </w:rPr>
        <w:t xml:space="preserve">（北京时间）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地点：济南市高新区工业南路59号中铁财智中心6号楼15楼。 </w:t>
      </w:r>
    </w:p>
    <w:p>
      <w:pPr>
        <w:keepNext w:val="0"/>
        <w:keepLines w:val="0"/>
        <w:pageBreakBefore w:val="0"/>
        <w:widowControl w:val="0"/>
        <w:kinsoku/>
        <w:wordWrap/>
        <w:overflowPunct/>
        <w:topLinePunct w:val="0"/>
        <w:autoSpaceDE/>
        <w:autoSpaceDN/>
        <w:bidi w:val="0"/>
        <w:spacing w:line="600" w:lineRule="atLeast"/>
        <w:ind w:left="0" w:leftChars="0" w:firstLine="0" w:firstLineChars="0"/>
        <w:textAlignment w:val="auto"/>
        <w:rPr>
          <w:rFonts w:hint="eastAsia"/>
          <w:b/>
          <w:bCs w:val="0"/>
          <w:color w:val="auto"/>
          <w:highlight w:val="none"/>
          <w:lang w:val="en-US" w:eastAsia="zh-CN"/>
        </w:rPr>
      </w:pPr>
      <w:bookmarkStart w:id="12" w:name="_Toc27892"/>
      <w:bookmarkStart w:id="13" w:name="_Toc17699"/>
      <w:r>
        <w:rPr>
          <w:rFonts w:hint="eastAsia"/>
          <w:b/>
          <w:bCs w:val="0"/>
          <w:color w:val="auto"/>
          <w:highlight w:val="none"/>
          <w:lang w:val="en-US" w:eastAsia="zh-CN"/>
        </w:rPr>
        <w:t>六、公告期限</w:t>
      </w:r>
      <w:bookmarkEnd w:id="12"/>
      <w:bookmarkEnd w:id="13"/>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自本公告发布之日起3个工作日。 </w:t>
      </w:r>
    </w:p>
    <w:p>
      <w:pPr>
        <w:keepNext w:val="0"/>
        <w:keepLines w:val="0"/>
        <w:pageBreakBefore w:val="0"/>
        <w:widowControl w:val="0"/>
        <w:kinsoku/>
        <w:wordWrap/>
        <w:overflowPunct/>
        <w:topLinePunct w:val="0"/>
        <w:autoSpaceDE/>
        <w:autoSpaceDN/>
        <w:bidi w:val="0"/>
        <w:spacing w:line="600" w:lineRule="atLeast"/>
        <w:ind w:left="0" w:leftChars="0" w:firstLine="0" w:firstLineChars="0"/>
        <w:textAlignment w:val="auto"/>
        <w:rPr>
          <w:rFonts w:hint="eastAsia"/>
          <w:b/>
          <w:bCs w:val="0"/>
          <w:color w:val="auto"/>
          <w:highlight w:val="none"/>
          <w:lang w:val="en-US" w:eastAsia="zh-CN"/>
        </w:rPr>
      </w:pPr>
      <w:bookmarkStart w:id="14" w:name="_Toc3381"/>
      <w:bookmarkStart w:id="15" w:name="_Toc446"/>
      <w:r>
        <w:rPr>
          <w:rFonts w:hint="eastAsia"/>
          <w:b/>
          <w:bCs w:val="0"/>
          <w:color w:val="auto"/>
          <w:highlight w:val="none"/>
          <w:lang w:val="en-US" w:eastAsia="zh-CN"/>
        </w:rPr>
        <w:t>七、其他补充事宜</w:t>
      </w:r>
      <w:bookmarkEnd w:id="14"/>
      <w:bookmarkEnd w:id="15"/>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1.单位负责人为同一人或者存在直接控股、管理关系的不同供应商，不得参加同一合项下的政府采购活动；</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2.除单一来源采购项目外，为采购项目提供整体设计、规范编制或者项目管理、监理、 检测等服务的供应商，不得再参加该采购项目的其他采购活动。</w:t>
      </w:r>
    </w:p>
    <w:p>
      <w:pPr>
        <w:keepNext w:val="0"/>
        <w:keepLines w:val="0"/>
        <w:pageBreakBefore w:val="0"/>
        <w:widowControl w:val="0"/>
        <w:kinsoku/>
        <w:wordWrap/>
        <w:overflowPunct/>
        <w:topLinePunct w:val="0"/>
        <w:autoSpaceDE/>
        <w:autoSpaceDN/>
        <w:bidi w:val="0"/>
        <w:spacing w:line="600" w:lineRule="atLeast"/>
        <w:textAlignment w:val="auto"/>
        <w:rPr>
          <w:rFonts w:hint="eastAsia" w:ascii="宋体" w:hAnsi="宋体" w:eastAsia="宋体" w:cs="Times New Roman"/>
          <w:bCs/>
          <w:color w:val="auto"/>
          <w:highlight w:val="none"/>
          <w:lang w:val="en-US" w:eastAsia="zh-CN"/>
        </w:rPr>
      </w:pPr>
      <w:r>
        <w:rPr>
          <w:rFonts w:hint="eastAsia"/>
          <w:color w:val="auto"/>
          <w:highlight w:val="none"/>
          <w:lang w:val="en-US" w:eastAsia="zh-CN"/>
        </w:rPr>
        <w:t>3.本项目优先采购本国货物和服务，必须进行的技术引进和转让须符合国家政策和有利于国内行业的发展。政府采购应当有助于实现国家的经济和社会发展政策目标，包括保护 环境，扶持不发达地区和少数民族地区，促进中小企业发展等，具体政府采购政策详见竞 争性磋商文件。</w:t>
      </w:r>
    </w:p>
    <w:p>
      <w:pPr>
        <w:keepNext w:val="0"/>
        <w:keepLines w:val="0"/>
        <w:pageBreakBefore w:val="0"/>
        <w:widowControl w:val="0"/>
        <w:kinsoku/>
        <w:wordWrap/>
        <w:overflowPunct/>
        <w:topLinePunct w:val="0"/>
        <w:autoSpaceDE/>
        <w:autoSpaceDN/>
        <w:bidi w:val="0"/>
        <w:spacing w:line="600" w:lineRule="atLeast"/>
        <w:textAlignment w:val="auto"/>
        <w:rPr>
          <w:rFonts w:hint="eastAsia" w:ascii="宋体" w:hAnsi="宋体" w:eastAsia="宋体" w:cs="Times New Roman"/>
          <w:bCs/>
          <w:color w:val="auto"/>
          <w:highlight w:val="none"/>
          <w:lang w:val="en-US" w:eastAsia="zh-CN"/>
        </w:rPr>
      </w:pPr>
      <w:r>
        <w:rPr>
          <w:rFonts w:hint="eastAsia" w:ascii="宋体" w:hAnsi="宋体" w:eastAsia="宋体" w:cs="Times New Roman"/>
          <w:bCs/>
          <w:color w:val="auto"/>
          <w:highlight w:val="none"/>
          <w:lang w:val="en-US" w:eastAsia="zh-CN"/>
        </w:rPr>
        <w:t>4.本项目兼投兼中。</w:t>
      </w:r>
    </w:p>
    <w:p>
      <w:pPr>
        <w:keepNext w:val="0"/>
        <w:keepLines w:val="0"/>
        <w:pageBreakBefore w:val="0"/>
        <w:widowControl w:val="0"/>
        <w:kinsoku/>
        <w:wordWrap/>
        <w:overflowPunct/>
        <w:topLinePunct w:val="0"/>
        <w:autoSpaceDE/>
        <w:autoSpaceDN/>
        <w:bidi w:val="0"/>
        <w:spacing w:line="600" w:lineRule="atLeast"/>
        <w:textAlignment w:val="auto"/>
        <w:rPr>
          <w:rFonts w:hint="default"/>
          <w:lang w:val="en-US" w:eastAsia="zh-CN"/>
        </w:rPr>
      </w:pPr>
      <w:r>
        <w:rPr>
          <w:rFonts w:hint="eastAsia"/>
          <w:lang w:val="en-US" w:eastAsia="zh-CN"/>
        </w:rPr>
        <w:t>5.本公告同时在中国采购与招标网、山东省</w:t>
      </w:r>
      <w:bookmarkStart w:id="18" w:name="_GoBack"/>
      <w:bookmarkEnd w:id="18"/>
      <w:r>
        <w:rPr>
          <w:rFonts w:hint="eastAsia"/>
          <w:lang w:val="en-US" w:eastAsia="zh-CN"/>
        </w:rPr>
        <w:t>采购与招标网、山东蓝盾招标代理有限公司官网发布。</w:t>
      </w:r>
    </w:p>
    <w:p>
      <w:pPr>
        <w:keepNext w:val="0"/>
        <w:keepLines w:val="0"/>
        <w:pageBreakBefore w:val="0"/>
        <w:widowControl w:val="0"/>
        <w:kinsoku/>
        <w:wordWrap/>
        <w:overflowPunct/>
        <w:topLinePunct w:val="0"/>
        <w:autoSpaceDE/>
        <w:autoSpaceDN/>
        <w:bidi w:val="0"/>
        <w:spacing w:line="600" w:lineRule="atLeast"/>
        <w:ind w:left="0" w:leftChars="0" w:firstLine="0" w:firstLineChars="0"/>
        <w:textAlignment w:val="auto"/>
        <w:rPr>
          <w:rFonts w:hint="eastAsia"/>
          <w:b/>
          <w:bCs w:val="0"/>
          <w:color w:val="auto"/>
          <w:highlight w:val="none"/>
          <w:lang w:val="en-US" w:eastAsia="zh-CN"/>
        </w:rPr>
      </w:pPr>
      <w:bookmarkStart w:id="16" w:name="_Toc29522"/>
      <w:bookmarkStart w:id="17" w:name="_Toc67"/>
      <w:r>
        <w:rPr>
          <w:rFonts w:hint="eastAsia"/>
          <w:b/>
          <w:bCs w:val="0"/>
          <w:color w:val="auto"/>
          <w:highlight w:val="none"/>
          <w:lang w:val="en-US" w:eastAsia="zh-CN"/>
        </w:rPr>
        <w:t>八、凡对本次采购提出询问，请按以下方式联系。</w:t>
      </w:r>
      <w:bookmarkEnd w:id="16"/>
      <w:bookmarkEnd w:id="17"/>
      <w:r>
        <w:rPr>
          <w:rFonts w:hint="eastAsia"/>
          <w:b/>
          <w:bCs w:val="0"/>
          <w:color w:val="auto"/>
          <w:highlight w:val="none"/>
          <w:lang w:val="en-US" w:eastAsia="zh-CN"/>
        </w:rPr>
        <w:t xml:space="preserve">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1.采购人信息</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名   称：济南市公安局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地   址：旅游路17777号  </w:t>
      </w:r>
    </w:p>
    <w:p>
      <w:pPr>
        <w:keepNext w:val="0"/>
        <w:keepLines w:val="0"/>
        <w:pageBreakBefore w:val="0"/>
        <w:widowControl w:val="0"/>
        <w:kinsoku/>
        <w:wordWrap/>
        <w:overflowPunct/>
        <w:topLinePunct w:val="0"/>
        <w:autoSpaceDE/>
        <w:autoSpaceDN/>
        <w:bidi w:val="0"/>
        <w:spacing w:line="600" w:lineRule="atLeast"/>
        <w:textAlignment w:val="auto"/>
        <w:rPr>
          <w:rFonts w:hint="default"/>
          <w:color w:val="auto"/>
          <w:highlight w:val="none"/>
          <w:lang w:val="en-US" w:eastAsia="zh-CN"/>
        </w:rPr>
      </w:pPr>
      <w:r>
        <w:rPr>
          <w:rFonts w:hint="eastAsia"/>
          <w:color w:val="auto"/>
          <w:highlight w:val="none"/>
          <w:lang w:val="en-US" w:eastAsia="zh-CN"/>
        </w:rPr>
        <w:t xml:space="preserve">联系方式：17853180788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2.采购代理机构信息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名   称：山东蓝盾招标代理有限公司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地   址：济南市高新区工业南路59号中铁财智中心6号楼15楼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3.项目联系方式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 xml:space="preserve">项目联系人：张越 </w:t>
      </w:r>
    </w:p>
    <w:p>
      <w:pPr>
        <w:keepNext w:val="0"/>
        <w:keepLines w:val="0"/>
        <w:pageBreakBefore w:val="0"/>
        <w:widowControl w:val="0"/>
        <w:kinsoku/>
        <w:wordWrap/>
        <w:overflowPunct/>
        <w:topLinePunct w:val="0"/>
        <w:autoSpaceDE/>
        <w:autoSpaceDN/>
        <w:bidi w:val="0"/>
        <w:spacing w:line="600" w:lineRule="atLeast"/>
        <w:textAlignment w:val="auto"/>
        <w:rPr>
          <w:rFonts w:hint="eastAsia"/>
          <w:color w:val="auto"/>
          <w:highlight w:val="none"/>
          <w:lang w:val="en-US" w:eastAsia="zh-CN"/>
        </w:rPr>
      </w:pPr>
      <w:r>
        <w:rPr>
          <w:rFonts w:hint="eastAsia"/>
          <w:color w:val="auto"/>
          <w:highlight w:val="none"/>
          <w:lang w:val="en-US" w:eastAsia="zh-CN"/>
        </w:rPr>
        <w:t>电话：18596098658</w:t>
      </w:r>
    </w:p>
    <w:p>
      <w:pPr>
        <w:keepNext w:val="0"/>
        <w:keepLines w:val="0"/>
        <w:pageBreakBefore w:val="0"/>
        <w:widowControl w:val="0"/>
        <w:kinsoku/>
        <w:wordWrap/>
        <w:overflowPunct/>
        <w:topLinePunct w:val="0"/>
        <w:autoSpaceDE/>
        <w:autoSpaceDN/>
        <w:bidi w:val="0"/>
        <w:spacing w:line="600" w:lineRule="atLeast"/>
        <w:textAlignment w:val="auto"/>
        <w:rPr>
          <w:rFonts w:hint="eastAsia" w:ascii="宋体" w:hAnsi="宋体" w:eastAsia="宋体" w:cs="宋体"/>
          <w:color w:val="auto"/>
          <w:kern w:val="0"/>
          <w:sz w:val="24"/>
          <w:highlight w:val="none"/>
        </w:rPr>
      </w:pPr>
      <w:r>
        <w:rPr>
          <w:rFonts w:hint="eastAsia"/>
          <w:color w:val="auto"/>
          <w:highlight w:val="none"/>
          <w:lang w:val="en-US" w:eastAsia="zh-CN"/>
        </w:rPr>
        <w:t>电子邮箱：</w:t>
      </w:r>
      <w:r>
        <w:rPr>
          <w:rFonts w:hint="eastAsia"/>
          <w:color w:val="auto"/>
          <w:highlight w:val="none"/>
          <w:lang w:val="en-US" w:eastAsia="zh-CN"/>
        </w:rPr>
        <w:fldChar w:fldCharType="begin"/>
      </w:r>
      <w:r>
        <w:rPr>
          <w:rFonts w:hint="eastAsia"/>
          <w:color w:val="auto"/>
          <w:highlight w:val="none"/>
          <w:lang w:val="en-US" w:eastAsia="zh-CN"/>
        </w:rPr>
        <w:instrText xml:space="preserve"> HYPERLINK "mailto:SDLDZBDL@163.com" </w:instrText>
      </w:r>
      <w:r>
        <w:rPr>
          <w:rFonts w:hint="eastAsia"/>
          <w:color w:val="auto"/>
          <w:highlight w:val="none"/>
          <w:lang w:val="en-US" w:eastAsia="zh-CN"/>
        </w:rPr>
        <w:fldChar w:fldCharType="separate"/>
      </w:r>
      <w:r>
        <w:rPr>
          <w:rFonts w:hint="eastAsia"/>
          <w:color w:val="auto"/>
          <w:highlight w:val="none"/>
          <w:lang w:val="en-US" w:eastAsia="zh-CN"/>
        </w:rPr>
        <w:t>SDLDZBDL@163.com</w:t>
      </w:r>
      <w:r>
        <w:rPr>
          <w:rFonts w:hint="eastAsia"/>
          <w:color w:val="auto"/>
          <w:highlight w:val="none"/>
          <w:lang w:val="en-US" w:eastAsia="zh-CN"/>
        </w:rPr>
        <w:fldChar w:fldCharType="end"/>
      </w:r>
    </w:p>
    <w:p>
      <w:pPr>
        <w:keepNext w:val="0"/>
        <w:keepLines w:val="0"/>
        <w:pageBreakBefore w:val="0"/>
        <w:widowControl w:val="0"/>
        <w:kinsoku/>
        <w:wordWrap/>
        <w:overflowPunct/>
        <w:topLinePunct w:val="0"/>
        <w:autoSpaceDE/>
        <w:autoSpaceDN/>
        <w:bidi w:val="0"/>
        <w:adjustRightInd w:val="0"/>
        <w:snapToGrid w:val="0"/>
        <w:spacing w:line="600" w:lineRule="atLeast"/>
        <w:ind w:firstLine="9480" w:firstLineChars="3950"/>
        <w:textAlignment w:val="auto"/>
        <w:rPr>
          <w:rFonts w:hint="eastAsia" w:ascii="宋体" w:hAnsi="宋体" w:eastAsia="宋体" w:cs="宋体"/>
          <w:color w:val="auto"/>
          <w:kern w:val="0"/>
          <w:sz w:val="24"/>
          <w:highlight w:val="none"/>
          <w:lang w:val="zh-CN"/>
        </w:rPr>
      </w:pPr>
    </w:p>
    <w:p>
      <w:pPr>
        <w:keepNext w:val="0"/>
        <w:keepLines w:val="0"/>
        <w:pageBreakBefore w:val="0"/>
        <w:widowControl w:val="0"/>
        <w:kinsoku/>
        <w:wordWrap/>
        <w:overflowPunct/>
        <w:topLinePunct w:val="0"/>
        <w:autoSpaceDE/>
        <w:autoSpaceDN/>
        <w:bidi w:val="0"/>
        <w:spacing w:line="600" w:lineRule="atLeast"/>
        <w:jc w:val="right"/>
        <w:textAlignment w:val="auto"/>
        <w:rPr>
          <w:rFonts w:hint="eastAsia"/>
          <w:color w:val="auto"/>
          <w:highlight w:val="none"/>
          <w:lang w:val="zh-CN" w:eastAsia="zh-CN"/>
        </w:rPr>
      </w:pPr>
      <w:r>
        <w:rPr>
          <w:rFonts w:hint="eastAsia" w:ascii="宋体" w:hAnsi="宋体" w:eastAsia="宋体" w:cs="宋体"/>
          <w:color w:val="auto"/>
          <w:kern w:val="0"/>
          <w:sz w:val="24"/>
          <w:highlight w:val="none"/>
        </w:rPr>
        <w:t xml:space="preserve">                                  </w:t>
      </w:r>
      <w:r>
        <w:rPr>
          <w:rFonts w:hint="eastAsia"/>
          <w:color w:val="auto"/>
          <w:highlight w:val="none"/>
          <w:lang w:val="zh-CN" w:eastAsia="zh-CN"/>
        </w:rPr>
        <w:t>发布人：山东蓝盾招标代理有限公司</w:t>
      </w:r>
    </w:p>
    <w:p>
      <w:pPr>
        <w:keepNext w:val="0"/>
        <w:keepLines w:val="0"/>
        <w:pageBreakBefore w:val="0"/>
        <w:widowControl w:val="0"/>
        <w:kinsoku/>
        <w:wordWrap/>
        <w:overflowPunct/>
        <w:topLinePunct w:val="0"/>
        <w:autoSpaceDE/>
        <w:autoSpaceDN/>
        <w:bidi w:val="0"/>
        <w:spacing w:line="600" w:lineRule="atLeast"/>
        <w:jc w:val="right"/>
        <w:textAlignment w:val="auto"/>
        <w:rPr>
          <w:rFonts w:hint="eastAsia"/>
          <w:color w:val="auto"/>
          <w:highlight w:val="none"/>
          <w:lang w:val="en-US" w:eastAsia="zh-CN"/>
        </w:rPr>
      </w:pPr>
      <w:r>
        <w:rPr>
          <w:rFonts w:hint="eastAsia"/>
          <w:color w:val="auto"/>
          <w:highlight w:val="none"/>
          <w:lang w:val="zh-CN" w:eastAsia="zh-CN"/>
        </w:rPr>
        <w:t>发布时间：</w:t>
      </w:r>
      <w:r>
        <w:rPr>
          <w:rFonts w:hint="eastAsia"/>
          <w:color w:val="auto"/>
          <w:highlight w:val="none"/>
          <w:lang w:val="en-US" w:eastAsia="zh-CN"/>
        </w:rPr>
        <w:t>2021年10月27日</w:t>
      </w:r>
    </w:p>
    <w:sectPr>
      <w:pgSz w:w="11900" w:h="16821"/>
      <w:pgMar w:top="964" w:right="850" w:bottom="1247" w:left="1134" w:header="720" w:footer="720" w:gutter="0"/>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Cambria">
    <w:panose1 w:val="02040503050406030204"/>
    <w:charset w:val="00"/>
    <w:family w:val="roman"/>
    <w:pitch w:val="default"/>
    <w:sig w:usb0="E00002FF" w:usb1="400004FF"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EE5E15"/>
    <w:multiLevelType w:val="singleLevel"/>
    <w:tmpl w:val="F3EE5E15"/>
    <w:lvl w:ilvl="0" w:tentative="0">
      <w:start w:val="2"/>
      <w:numFmt w:val="chineseCounting"/>
      <w:suff w:val="nothing"/>
      <w:lvlText w:val="%1、"/>
      <w:lvlJc w:val="left"/>
      <w:rPr>
        <w:rFonts w:hint="eastAsia"/>
      </w:rPr>
    </w:lvl>
  </w:abstractNum>
  <w:abstractNum w:abstractNumId="1">
    <w:nsid w:val="35DC5F4E"/>
    <w:multiLevelType w:val="multilevel"/>
    <w:tmpl w:val="35DC5F4E"/>
    <w:lvl w:ilvl="0" w:tentative="0">
      <w:start w:val="1"/>
      <w:numFmt w:val="none"/>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pStyle w:val="7"/>
      <w:suff w:val="nothing"/>
      <w:lvlText w:val=""/>
      <w:lvlJc w:val="left"/>
      <w:pPr>
        <w:tabs>
          <w:tab w:val="left" w:pos="0"/>
        </w:tabs>
        <w:ind w:left="0" w:firstLine="0"/>
      </w:pPr>
    </w:lvl>
    <w:lvl w:ilvl="4" w:tentative="0">
      <w:start w:val="1"/>
      <w:numFmt w:val="none"/>
      <w:pStyle w:val="8"/>
      <w:suff w:val="nothing"/>
      <w:lvlText w:val=""/>
      <w:lvlJc w:val="left"/>
      <w:pPr>
        <w:tabs>
          <w:tab w:val="left" w:pos="0"/>
        </w:tabs>
        <w:ind w:left="0" w:firstLine="0"/>
      </w:pPr>
    </w:lvl>
    <w:lvl w:ilvl="5" w:tentative="0">
      <w:start w:val="1"/>
      <w:numFmt w:val="none"/>
      <w:pStyle w:val="9"/>
      <w:suff w:val="nothing"/>
      <w:lvlText w:val=""/>
      <w:lvlJc w:val="left"/>
      <w:pPr>
        <w:tabs>
          <w:tab w:val="left" w:pos="0"/>
        </w:tabs>
        <w:ind w:left="0" w:firstLine="0"/>
      </w:pPr>
    </w:lvl>
    <w:lvl w:ilvl="6" w:tentative="0">
      <w:start w:val="1"/>
      <w:numFmt w:val="none"/>
      <w:pStyle w:val="10"/>
      <w:suff w:val="nothing"/>
      <w:lvlText w:val=""/>
      <w:lvlJc w:val="left"/>
      <w:pPr>
        <w:tabs>
          <w:tab w:val="left" w:pos="0"/>
        </w:tabs>
        <w:ind w:left="0" w:firstLine="0"/>
      </w:pPr>
    </w:lvl>
    <w:lvl w:ilvl="7" w:tentative="0">
      <w:start w:val="1"/>
      <w:numFmt w:val="none"/>
      <w:pStyle w:val="11"/>
      <w:suff w:val="nothing"/>
      <w:lvlText w:val=""/>
      <w:lvlJc w:val="left"/>
      <w:pPr>
        <w:tabs>
          <w:tab w:val="left" w:pos="0"/>
        </w:tabs>
        <w:ind w:left="0" w:firstLine="0"/>
      </w:pPr>
    </w:lvl>
    <w:lvl w:ilvl="8" w:tentative="0">
      <w:start w:val="1"/>
      <w:numFmt w:val="none"/>
      <w:pStyle w:val="12"/>
      <w:suff w:val="nothing"/>
      <w:lvlText w:val=""/>
      <w:lvlJc w:val="left"/>
      <w:pPr>
        <w:tabs>
          <w:tab w:val="left" w:pos="0"/>
        </w:tabs>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2"/>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A62A99"/>
    <w:rsid w:val="00492118"/>
    <w:rsid w:val="00BB4E48"/>
    <w:rsid w:val="01DB3804"/>
    <w:rsid w:val="02281028"/>
    <w:rsid w:val="02AB5125"/>
    <w:rsid w:val="032F6ED5"/>
    <w:rsid w:val="0408651E"/>
    <w:rsid w:val="040B1F88"/>
    <w:rsid w:val="04110DE5"/>
    <w:rsid w:val="042A6F2D"/>
    <w:rsid w:val="042E632D"/>
    <w:rsid w:val="045B7F4E"/>
    <w:rsid w:val="049F3912"/>
    <w:rsid w:val="04D86502"/>
    <w:rsid w:val="0506224F"/>
    <w:rsid w:val="054D16E9"/>
    <w:rsid w:val="05847C95"/>
    <w:rsid w:val="05C723CF"/>
    <w:rsid w:val="05C96AD0"/>
    <w:rsid w:val="062F7AC1"/>
    <w:rsid w:val="069F4D12"/>
    <w:rsid w:val="06F61634"/>
    <w:rsid w:val="079328A3"/>
    <w:rsid w:val="07D2590E"/>
    <w:rsid w:val="084C6169"/>
    <w:rsid w:val="085654E0"/>
    <w:rsid w:val="08883F80"/>
    <w:rsid w:val="09203239"/>
    <w:rsid w:val="09255ABD"/>
    <w:rsid w:val="09895CA7"/>
    <w:rsid w:val="0B347DF1"/>
    <w:rsid w:val="0B413789"/>
    <w:rsid w:val="0B5E73DA"/>
    <w:rsid w:val="0BB25CF1"/>
    <w:rsid w:val="0C3D3F75"/>
    <w:rsid w:val="0C8B0AF6"/>
    <w:rsid w:val="0C901FEE"/>
    <w:rsid w:val="0D0228EB"/>
    <w:rsid w:val="0D1638A6"/>
    <w:rsid w:val="0D367B22"/>
    <w:rsid w:val="0DBE22E5"/>
    <w:rsid w:val="0E28023E"/>
    <w:rsid w:val="0E5E4327"/>
    <w:rsid w:val="0E6F684D"/>
    <w:rsid w:val="0EA6435D"/>
    <w:rsid w:val="0EB32982"/>
    <w:rsid w:val="0F1944A1"/>
    <w:rsid w:val="0F3500DB"/>
    <w:rsid w:val="0F653C62"/>
    <w:rsid w:val="100A6F1F"/>
    <w:rsid w:val="1016059F"/>
    <w:rsid w:val="110478F4"/>
    <w:rsid w:val="11312A34"/>
    <w:rsid w:val="11D27A61"/>
    <w:rsid w:val="12F12EC7"/>
    <w:rsid w:val="131634BD"/>
    <w:rsid w:val="13472856"/>
    <w:rsid w:val="13FD5B0C"/>
    <w:rsid w:val="142F2434"/>
    <w:rsid w:val="14617E30"/>
    <w:rsid w:val="146E020F"/>
    <w:rsid w:val="14AD6AFE"/>
    <w:rsid w:val="15B27558"/>
    <w:rsid w:val="163333C4"/>
    <w:rsid w:val="168D6539"/>
    <w:rsid w:val="1695394E"/>
    <w:rsid w:val="16B61AA3"/>
    <w:rsid w:val="16F8116E"/>
    <w:rsid w:val="16F92FE2"/>
    <w:rsid w:val="17B745D5"/>
    <w:rsid w:val="17E6372A"/>
    <w:rsid w:val="184C1FEF"/>
    <w:rsid w:val="18A61FD2"/>
    <w:rsid w:val="193B6459"/>
    <w:rsid w:val="19490AD7"/>
    <w:rsid w:val="19801382"/>
    <w:rsid w:val="1985748C"/>
    <w:rsid w:val="19962A05"/>
    <w:rsid w:val="19994A3A"/>
    <w:rsid w:val="19A31AB2"/>
    <w:rsid w:val="1A1A4978"/>
    <w:rsid w:val="1B01225C"/>
    <w:rsid w:val="1B7B14B0"/>
    <w:rsid w:val="1D495148"/>
    <w:rsid w:val="1D657A87"/>
    <w:rsid w:val="1DA63A02"/>
    <w:rsid w:val="1E233F2C"/>
    <w:rsid w:val="1EB67398"/>
    <w:rsid w:val="1FD63F5E"/>
    <w:rsid w:val="20176105"/>
    <w:rsid w:val="20661754"/>
    <w:rsid w:val="206750B3"/>
    <w:rsid w:val="20BB5356"/>
    <w:rsid w:val="20BD3371"/>
    <w:rsid w:val="210D1553"/>
    <w:rsid w:val="21531F3C"/>
    <w:rsid w:val="21845325"/>
    <w:rsid w:val="222018A7"/>
    <w:rsid w:val="2227065D"/>
    <w:rsid w:val="22754DF4"/>
    <w:rsid w:val="2282038F"/>
    <w:rsid w:val="232D175A"/>
    <w:rsid w:val="239F2573"/>
    <w:rsid w:val="24233D2F"/>
    <w:rsid w:val="243018C8"/>
    <w:rsid w:val="24884358"/>
    <w:rsid w:val="24C3146E"/>
    <w:rsid w:val="24CA3A3B"/>
    <w:rsid w:val="24EA0EE9"/>
    <w:rsid w:val="253A1530"/>
    <w:rsid w:val="25620B60"/>
    <w:rsid w:val="25810BE0"/>
    <w:rsid w:val="25DC601F"/>
    <w:rsid w:val="261D2854"/>
    <w:rsid w:val="26230AA6"/>
    <w:rsid w:val="27343B3C"/>
    <w:rsid w:val="274A691D"/>
    <w:rsid w:val="274B422A"/>
    <w:rsid w:val="27D969FE"/>
    <w:rsid w:val="27F50769"/>
    <w:rsid w:val="28025D05"/>
    <w:rsid w:val="285A6E3F"/>
    <w:rsid w:val="285E69AD"/>
    <w:rsid w:val="2885072D"/>
    <w:rsid w:val="289B2C2F"/>
    <w:rsid w:val="28A00E86"/>
    <w:rsid w:val="29181D24"/>
    <w:rsid w:val="295F08CA"/>
    <w:rsid w:val="2999131D"/>
    <w:rsid w:val="2A6853E9"/>
    <w:rsid w:val="2A732529"/>
    <w:rsid w:val="2B0F3F76"/>
    <w:rsid w:val="2B10286C"/>
    <w:rsid w:val="2B2039AB"/>
    <w:rsid w:val="2B230067"/>
    <w:rsid w:val="2B450129"/>
    <w:rsid w:val="2B5D3F1F"/>
    <w:rsid w:val="2BAF78F0"/>
    <w:rsid w:val="2BB30F61"/>
    <w:rsid w:val="2BD41A34"/>
    <w:rsid w:val="2C2A057A"/>
    <w:rsid w:val="2CA205E4"/>
    <w:rsid w:val="2CC75556"/>
    <w:rsid w:val="2CFD060A"/>
    <w:rsid w:val="2D4E6B12"/>
    <w:rsid w:val="2DEF74EF"/>
    <w:rsid w:val="2E0F17DE"/>
    <w:rsid w:val="2E7D5019"/>
    <w:rsid w:val="2EEA1561"/>
    <w:rsid w:val="2EF7411B"/>
    <w:rsid w:val="2F256F9E"/>
    <w:rsid w:val="2F3B2D01"/>
    <w:rsid w:val="2F541DF4"/>
    <w:rsid w:val="2F7B3EE1"/>
    <w:rsid w:val="302A2BB7"/>
    <w:rsid w:val="30792F87"/>
    <w:rsid w:val="309C747F"/>
    <w:rsid w:val="30EC3686"/>
    <w:rsid w:val="310C1E70"/>
    <w:rsid w:val="323B39BA"/>
    <w:rsid w:val="323D408C"/>
    <w:rsid w:val="330A52AA"/>
    <w:rsid w:val="33351C28"/>
    <w:rsid w:val="336F07E0"/>
    <w:rsid w:val="33741D5C"/>
    <w:rsid w:val="33A635E3"/>
    <w:rsid w:val="34A361AE"/>
    <w:rsid w:val="3559080C"/>
    <w:rsid w:val="355F7F5A"/>
    <w:rsid w:val="361B0156"/>
    <w:rsid w:val="365F12A3"/>
    <w:rsid w:val="36776D3F"/>
    <w:rsid w:val="36990B23"/>
    <w:rsid w:val="3713487D"/>
    <w:rsid w:val="37613664"/>
    <w:rsid w:val="3775290C"/>
    <w:rsid w:val="38164506"/>
    <w:rsid w:val="38D63B77"/>
    <w:rsid w:val="38D96D4B"/>
    <w:rsid w:val="395563D2"/>
    <w:rsid w:val="3964356F"/>
    <w:rsid w:val="39845F74"/>
    <w:rsid w:val="39D431FC"/>
    <w:rsid w:val="3A25491E"/>
    <w:rsid w:val="3A7655A8"/>
    <w:rsid w:val="3A8852EC"/>
    <w:rsid w:val="3B6B3E39"/>
    <w:rsid w:val="3B723C24"/>
    <w:rsid w:val="3B90771B"/>
    <w:rsid w:val="3BF520C9"/>
    <w:rsid w:val="3BF5738A"/>
    <w:rsid w:val="3C2B6A37"/>
    <w:rsid w:val="3C545628"/>
    <w:rsid w:val="3D42473E"/>
    <w:rsid w:val="3D4D36CC"/>
    <w:rsid w:val="3D6B25D9"/>
    <w:rsid w:val="3D72260B"/>
    <w:rsid w:val="3DBB5F38"/>
    <w:rsid w:val="3DC223A3"/>
    <w:rsid w:val="3DD248FF"/>
    <w:rsid w:val="3DD41894"/>
    <w:rsid w:val="3E957370"/>
    <w:rsid w:val="3EB06756"/>
    <w:rsid w:val="3EBD09E3"/>
    <w:rsid w:val="3F3A7B0C"/>
    <w:rsid w:val="3FC539D9"/>
    <w:rsid w:val="3FC552EA"/>
    <w:rsid w:val="404D5BD3"/>
    <w:rsid w:val="4104118F"/>
    <w:rsid w:val="41294BA5"/>
    <w:rsid w:val="41FF44F0"/>
    <w:rsid w:val="420E2E82"/>
    <w:rsid w:val="42153F68"/>
    <w:rsid w:val="4236225D"/>
    <w:rsid w:val="4313180F"/>
    <w:rsid w:val="43320895"/>
    <w:rsid w:val="43AE2D5A"/>
    <w:rsid w:val="43B67919"/>
    <w:rsid w:val="43C131EA"/>
    <w:rsid w:val="43F357CA"/>
    <w:rsid w:val="4416575A"/>
    <w:rsid w:val="442465E9"/>
    <w:rsid w:val="443414EB"/>
    <w:rsid w:val="44616366"/>
    <w:rsid w:val="446D3117"/>
    <w:rsid w:val="44B45395"/>
    <w:rsid w:val="44D92F09"/>
    <w:rsid w:val="44FC7C83"/>
    <w:rsid w:val="45407D5D"/>
    <w:rsid w:val="46201AF3"/>
    <w:rsid w:val="46841F1D"/>
    <w:rsid w:val="46A165C4"/>
    <w:rsid w:val="46D546C7"/>
    <w:rsid w:val="471D20BB"/>
    <w:rsid w:val="4730782D"/>
    <w:rsid w:val="47530DED"/>
    <w:rsid w:val="484E0355"/>
    <w:rsid w:val="48D13ABC"/>
    <w:rsid w:val="49415693"/>
    <w:rsid w:val="49F672FB"/>
    <w:rsid w:val="4A094822"/>
    <w:rsid w:val="4A825F4B"/>
    <w:rsid w:val="4B3C7FD8"/>
    <w:rsid w:val="4B9E26A1"/>
    <w:rsid w:val="4BA534B2"/>
    <w:rsid w:val="4BBC479C"/>
    <w:rsid w:val="4C8E4886"/>
    <w:rsid w:val="4CB45576"/>
    <w:rsid w:val="4CB702FA"/>
    <w:rsid w:val="4CBD6A73"/>
    <w:rsid w:val="4D4E3660"/>
    <w:rsid w:val="4D5A49D1"/>
    <w:rsid w:val="4D6177EF"/>
    <w:rsid w:val="4DA87FF5"/>
    <w:rsid w:val="4DB454E0"/>
    <w:rsid w:val="4E9F077D"/>
    <w:rsid w:val="4EF35A16"/>
    <w:rsid w:val="4EFB53E2"/>
    <w:rsid w:val="4F577533"/>
    <w:rsid w:val="4F5E00C6"/>
    <w:rsid w:val="4F65389C"/>
    <w:rsid w:val="4F764D53"/>
    <w:rsid w:val="4F7A4DA4"/>
    <w:rsid w:val="4FE90CC0"/>
    <w:rsid w:val="4FF66142"/>
    <w:rsid w:val="51005390"/>
    <w:rsid w:val="512B1D61"/>
    <w:rsid w:val="515665A0"/>
    <w:rsid w:val="51BD124B"/>
    <w:rsid w:val="52096FAB"/>
    <w:rsid w:val="53245760"/>
    <w:rsid w:val="53533EFA"/>
    <w:rsid w:val="537D4D33"/>
    <w:rsid w:val="53BA247C"/>
    <w:rsid w:val="542E6F61"/>
    <w:rsid w:val="5493560D"/>
    <w:rsid w:val="54EC4A10"/>
    <w:rsid w:val="54FB1129"/>
    <w:rsid w:val="556D2AFE"/>
    <w:rsid w:val="562432B7"/>
    <w:rsid w:val="568A322D"/>
    <w:rsid w:val="569267F8"/>
    <w:rsid w:val="56B73028"/>
    <w:rsid w:val="57A1686A"/>
    <w:rsid w:val="57F52875"/>
    <w:rsid w:val="580E2877"/>
    <w:rsid w:val="58241BDA"/>
    <w:rsid w:val="587B5A9B"/>
    <w:rsid w:val="58993C60"/>
    <w:rsid w:val="59AD218D"/>
    <w:rsid w:val="59C93226"/>
    <w:rsid w:val="59CF06F2"/>
    <w:rsid w:val="5A50087C"/>
    <w:rsid w:val="5ADC6E7C"/>
    <w:rsid w:val="5BD05911"/>
    <w:rsid w:val="5C782AA0"/>
    <w:rsid w:val="5C871234"/>
    <w:rsid w:val="5CFF43D0"/>
    <w:rsid w:val="5D70256B"/>
    <w:rsid w:val="5D871C19"/>
    <w:rsid w:val="5DB43DE8"/>
    <w:rsid w:val="5DF43A3E"/>
    <w:rsid w:val="5EE41E88"/>
    <w:rsid w:val="6021486B"/>
    <w:rsid w:val="604B549E"/>
    <w:rsid w:val="605D0012"/>
    <w:rsid w:val="608451CB"/>
    <w:rsid w:val="609C773B"/>
    <w:rsid w:val="60A94911"/>
    <w:rsid w:val="611F6CA9"/>
    <w:rsid w:val="61332B31"/>
    <w:rsid w:val="61555611"/>
    <w:rsid w:val="618E29BC"/>
    <w:rsid w:val="61981E9A"/>
    <w:rsid w:val="62742140"/>
    <w:rsid w:val="62A30361"/>
    <w:rsid w:val="62C51A65"/>
    <w:rsid w:val="62C931FA"/>
    <w:rsid w:val="6378465E"/>
    <w:rsid w:val="646168F1"/>
    <w:rsid w:val="646448EA"/>
    <w:rsid w:val="64796676"/>
    <w:rsid w:val="65517D7D"/>
    <w:rsid w:val="65636611"/>
    <w:rsid w:val="6564594C"/>
    <w:rsid w:val="658C05DC"/>
    <w:rsid w:val="658C4478"/>
    <w:rsid w:val="65E3505B"/>
    <w:rsid w:val="66320890"/>
    <w:rsid w:val="668F1040"/>
    <w:rsid w:val="66E8081D"/>
    <w:rsid w:val="66F651FB"/>
    <w:rsid w:val="67053C77"/>
    <w:rsid w:val="676517CD"/>
    <w:rsid w:val="67CF6830"/>
    <w:rsid w:val="68211B28"/>
    <w:rsid w:val="688857CE"/>
    <w:rsid w:val="68AC070B"/>
    <w:rsid w:val="698C0B13"/>
    <w:rsid w:val="6A9A2265"/>
    <w:rsid w:val="6B4776CF"/>
    <w:rsid w:val="6BD550E2"/>
    <w:rsid w:val="6C5B2F5C"/>
    <w:rsid w:val="6C5C15B8"/>
    <w:rsid w:val="6C65053F"/>
    <w:rsid w:val="6CF028CC"/>
    <w:rsid w:val="6D3623FE"/>
    <w:rsid w:val="6D490255"/>
    <w:rsid w:val="6D8D62CA"/>
    <w:rsid w:val="6DF90224"/>
    <w:rsid w:val="6E3E3148"/>
    <w:rsid w:val="6E674133"/>
    <w:rsid w:val="6ED27339"/>
    <w:rsid w:val="6EE7532F"/>
    <w:rsid w:val="6F146C24"/>
    <w:rsid w:val="6F6D51A0"/>
    <w:rsid w:val="6F8F596E"/>
    <w:rsid w:val="7014078C"/>
    <w:rsid w:val="70843292"/>
    <w:rsid w:val="70F30FFA"/>
    <w:rsid w:val="71181C93"/>
    <w:rsid w:val="717D567C"/>
    <w:rsid w:val="722A60B9"/>
    <w:rsid w:val="72A62A99"/>
    <w:rsid w:val="72B5218F"/>
    <w:rsid w:val="72BC71AD"/>
    <w:rsid w:val="72FC5C24"/>
    <w:rsid w:val="732350E0"/>
    <w:rsid w:val="73244658"/>
    <w:rsid w:val="73375C5D"/>
    <w:rsid w:val="737E0905"/>
    <w:rsid w:val="73977F91"/>
    <w:rsid w:val="73D4425B"/>
    <w:rsid w:val="741A1BC6"/>
    <w:rsid w:val="74506FD9"/>
    <w:rsid w:val="74695BC0"/>
    <w:rsid w:val="74827607"/>
    <w:rsid w:val="74C42E96"/>
    <w:rsid w:val="74D01B49"/>
    <w:rsid w:val="74F92591"/>
    <w:rsid w:val="75107E9E"/>
    <w:rsid w:val="75275BCA"/>
    <w:rsid w:val="760A0BF1"/>
    <w:rsid w:val="761C7FD8"/>
    <w:rsid w:val="762F31E7"/>
    <w:rsid w:val="76450AFD"/>
    <w:rsid w:val="76D14C2F"/>
    <w:rsid w:val="77180575"/>
    <w:rsid w:val="77726A1B"/>
    <w:rsid w:val="78045AB7"/>
    <w:rsid w:val="781A1EB7"/>
    <w:rsid w:val="782C649E"/>
    <w:rsid w:val="786D4474"/>
    <w:rsid w:val="78CB058E"/>
    <w:rsid w:val="78FC7B1D"/>
    <w:rsid w:val="79150E22"/>
    <w:rsid w:val="79182213"/>
    <w:rsid w:val="79B4192A"/>
    <w:rsid w:val="79F7628E"/>
    <w:rsid w:val="7A3706A3"/>
    <w:rsid w:val="7AF47FC0"/>
    <w:rsid w:val="7B1132C5"/>
    <w:rsid w:val="7B356164"/>
    <w:rsid w:val="7B804039"/>
    <w:rsid w:val="7BF442CB"/>
    <w:rsid w:val="7BF9527C"/>
    <w:rsid w:val="7CB207FD"/>
    <w:rsid w:val="7D0473BA"/>
    <w:rsid w:val="7D32474B"/>
    <w:rsid w:val="7D960C21"/>
    <w:rsid w:val="7DD63576"/>
    <w:rsid w:val="7EF74FBA"/>
    <w:rsid w:val="7F193001"/>
    <w:rsid w:val="7F7748AE"/>
    <w:rsid w:val="7FB915FB"/>
    <w:rsid w:val="7FD56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883" w:firstLineChars="200"/>
      <w:jc w:val="left"/>
    </w:pPr>
    <w:rPr>
      <w:rFonts w:ascii="宋体" w:hAnsi="宋体" w:eastAsia="宋体" w:cs="Times New Roman"/>
      <w:bCs/>
      <w:kern w:val="2"/>
      <w:sz w:val="24"/>
      <w:szCs w:val="24"/>
      <w:lang w:val="en-US" w:eastAsia="zh-CN" w:bidi="ar-SA"/>
    </w:rPr>
  </w:style>
  <w:style w:type="paragraph" w:styleId="4">
    <w:name w:val="heading 1"/>
    <w:basedOn w:val="1"/>
    <w:next w:val="1"/>
    <w:link w:val="25"/>
    <w:qFormat/>
    <w:uiPriority w:val="0"/>
    <w:pPr>
      <w:keepNext/>
      <w:keepLines/>
      <w:widowControl w:val="0"/>
      <w:adjustRightInd/>
      <w:spacing w:before="340" w:after="330" w:line="640" w:lineRule="atLeast"/>
      <w:jc w:val="center"/>
      <w:textAlignment w:val="auto"/>
      <w:outlineLvl w:val="0"/>
    </w:pPr>
    <w:rPr>
      <w:rFonts w:ascii="方正小标宋简体" w:hAnsi="方正小标宋简体" w:eastAsia="宋体"/>
      <w:b/>
      <w:kern w:val="44"/>
      <w:sz w:val="44"/>
      <w:szCs w:val="44"/>
    </w:rPr>
  </w:style>
  <w:style w:type="paragraph" w:styleId="5">
    <w:name w:val="heading 2"/>
    <w:basedOn w:val="1"/>
    <w:next w:val="1"/>
    <w:link w:val="26"/>
    <w:semiHidden/>
    <w:unhideWhenUsed/>
    <w:qFormat/>
    <w:uiPriority w:val="0"/>
    <w:pPr>
      <w:keepNext/>
      <w:keepLines/>
      <w:spacing w:before="260" w:beforeLines="0" w:after="260" w:afterLines="0" w:line="640" w:lineRule="atLeast"/>
      <w:outlineLvl w:val="1"/>
    </w:pPr>
    <w:rPr>
      <w:rFonts w:ascii="Arial" w:hAnsi="Arial" w:eastAsia="宋体"/>
      <w:b/>
      <w:sz w:val="30"/>
      <w:szCs w:val="32"/>
    </w:rPr>
  </w:style>
  <w:style w:type="paragraph" w:styleId="6">
    <w:name w:val="heading 3"/>
    <w:basedOn w:val="1"/>
    <w:next w:val="1"/>
    <w:link w:val="27"/>
    <w:semiHidden/>
    <w:unhideWhenUsed/>
    <w:qFormat/>
    <w:uiPriority w:val="0"/>
    <w:pPr>
      <w:keepNext/>
      <w:keepLines/>
      <w:adjustRightInd/>
      <w:spacing w:before="100" w:beforeLines="100" w:line="300" w:lineRule="atLeast"/>
      <w:ind w:firstLine="600" w:firstLineChars="200"/>
      <w:jc w:val="both"/>
      <w:textAlignment w:val="auto"/>
      <w:outlineLvl w:val="2"/>
    </w:pPr>
    <w:rPr>
      <w:rFonts w:ascii="Times New Roman" w:hAnsi="Times New Roman" w:eastAsia="黑体"/>
      <w:sz w:val="28"/>
      <w:szCs w:val="32"/>
    </w:rPr>
  </w:style>
  <w:style w:type="paragraph" w:styleId="7">
    <w:name w:val="heading 4"/>
    <w:basedOn w:val="1"/>
    <w:next w:val="1"/>
    <w:link w:val="29"/>
    <w:semiHidden/>
    <w:unhideWhenUsed/>
    <w:qFormat/>
    <w:uiPriority w:val="0"/>
    <w:pPr>
      <w:keepNext/>
      <w:keepLines/>
      <w:numPr>
        <w:ilvl w:val="3"/>
        <w:numId w:val="1"/>
      </w:numPr>
      <w:spacing w:beforeLines="0" w:beforeAutospacing="0" w:afterLines="0" w:afterAutospacing="0" w:line="640" w:lineRule="atLeast"/>
      <w:outlineLvl w:val="3"/>
    </w:pPr>
    <w:rPr>
      <w:rFonts w:ascii="Arial" w:hAnsi="Arial" w:eastAsia="宋体"/>
      <w:szCs w:val="24"/>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outlineLvl w:val="8"/>
    </w:pPr>
    <w:rPr>
      <w:rFonts w:ascii="Arial" w:hAnsi="Arial" w:eastAsia="黑体"/>
      <w:sz w:val="21"/>
    </w:rPr>
  </w:style>
  <w:style w:type="character" w:default="1" w:styleId="22">
    <w:name w:val="Default Paragraph Font"/>
    <w:link w:val="23"/>
    <w:semiHidden/>
    <w:qFormat/>
    <w:uiPriority w:val="0"/>
    <w:rPr>
      <w:rFonts w:ascii="Calibri" w:hAnsi="Calibri" w:cs="仿宋_GB2312"/>
      <w:kern w:val="2"/>
      <w:sz w:val="24"/>
      <w:szCs w:val="28"/>
    </w:rPr>
  </w:style>
  <w:style w:type="table" w:default="1" w:styleId="21">
    <w:name w:val="Normal Table"/>
    <w:semiHidden/>
    <w:qFormat/>
    <w:uiPriority w:val="0"/>
    <w:tblPr>
      <w:tblCellMar>
        <w:top w:w="0" w:type="dxa"/>
        <w:left w:w="108" w:type="dxa"/>
        <w:bottom w:w="0" w:type="dxa"/>
        <w:right w:w="108" w:type="dxa"/>
      </w:tblCellMar>
    </w:tblPr>
  </w:style>
  <w:style w:type="paragraph" w:styleId="2">
    <w:name w:val="Body Text"/>
    <w:basedOn w:val="1"/>
    <w:next w:val="3"/>
    <w:link w:val="28"/>
    <w:qFormat/>
    <w:uiPriority w:val="0"/>
    <w:pPr>
      <w:spacing w:after="120" w:afterLines="0" w:afterAutospacing="0"/>
      <w:jc w:val="center"/>
    </w:pPr>
    <w:rPr>
      <w:rFonts w:cs="Times New Roman"/>
      <w:b/>
    </w:rPr>
  </w:style>
  <w:style w:type="paragraph" w:styleId="3">
    <w:name w:val="Body Text 2"/>
    <w:basedOn w:val="1"/>
    <w:qFormat/>
    <w:uiPriority w:val="0"/>
    <w:pPr>
      <w:spacing w:after="120" w:line="480" w:lineRule="auto"/>
    </w:pPr>
  </w:style>
  <w:style w:type="paragraph" w:styleId="13">
    <w:name w:val="Normal Indent"/>
    <w:basedOn w:val="1"/>
    <w:qFormat/>
    <w:uiPriority w:val="0"/>
    <w:pPr>
      <w:ind w:firstLine="420" w:firstLineChars="200"/>
    </w:pPr>
  </w:style>
  <w:style w:type="paragraph" w:styleId="14">
    <w:name w:val="Document Map"/>
    <w:basedOn w:val="1"/>
    <w:qFormat/>
    <w:uiPriority w:val="0"/>
    <w:pPr>
      <w:shd w:val="clear" w:color="auto" w:fill="000080"/>
    </w:pPr>
  </w:style>
  <w:style w:type="paragraph" w:styleId="15">
    <w:name w:val="toa heading"/>
    <w:basedOn w:val="1"/>
    <w:next w:val="1"/>
    <w:qFormat/>
    <w:uiPriority w:val="0"/>
    <w:pPr>
      <w:widowControl w:val="0"/>
      <w:spacing w:before="120"/>
      <w:jc w:val="both"/>
    </w:pPr>
    <w:rPr>
      <w:rFonts w:ascii="Arial" w:hAnsi="Arial"/>
      <w:kern w:val="2"/>
      <w:sz w:val="24"/>
    </w:rPr>
  </w:style>
  <w:style w:type="paragraph" w:styleId="16">
    <w:name w:val="Body Text Indent"/>
    <w:basedOn w:val="1"/>
    <w:qFormat/>
    <w:uiPriority w:val="99"/>
    <w:pPr>
      <w:spacing w:line="500" w:lineRule="exact"/>
      <w:ind w:left="1588" w:leftChars="832" w:firstLine="433" w:firstLineChars="196"/>
    </w:pPr>
    <w:rPr>
      <w:rFonts w:ascii="方正粗黑宋简体" w:hAnsi="方正粗黑宋简体"/>
      <w:sz w:val="20"/>
      <w:szCs w:val="20"/>
    </w:rPr>
  </w:style>
  <w:style w:type="paragraph" w:styleId="17">
    <w:name w:val="index 4"/>
    <w:basedOn w:val="1"/>
    <w:next w:val="1"/>
    <w:qFormat/>
    <w:uiPriority w:val="0"/>
    <w:pPr>
      <w:ind w:left="600" w:leftChars="600"/>
    </w:pPr>
  </w:style>
  <w:style w:type="paragraph" w:styleId="18">
    <w:name w:val="toc 1"/>
    <w:basedOn w:val="1"/>
    <w:next w:val="1"/>
    <w:qFormat/>
    <w:uiPriority w:val="0"/>
  </w:style>
  <w:style w:type="paragraph" w:styleId="19">
    <w:name w:val="Body Text First Indent"/>
    <w:basedOn w:val="2"/>
    <w:qFormat/>
    <w:uiPriority w:val="0"/>
    <w:pPr>
      <w:ind w:firstLine="420" w:firstLineChars="100"/>
    </w:pPr>
  </w:style>
  <w:style w:type="paragraph" w:styleId="20">
    <w:name w:val="Body Text First Indent 2"/>
    <w:basedOn w:val="16"/>
    <w:qFormat/>
    <w:uiPriority w:val="0"/>
    <w:pPr>
      <w:spacing w:after="120" w:afterLines="0"/>
      <w:ind w:left="480" w:leftChars="200" w:firstLine="210" w:firstLineChars="100"/>
    </w:pPr>
    <w:rPr>
      <w:rFonts w:hAnsi="方正粗黑宋简体"/>
      <w:sz w:val="28"/>
      <w:lang w:eastAsia="zh-TW"/>
    </w:rPr>
  </w:style>
  <w:style w:type="paragraph" w:customStyle="1" w:styleId="23">
    <w:name w:val=" Char"/>
    <w:basedOn w:val="1"/>
    <w:link w:val="22"/>
    <w:qFormat/>
    <w:uiPriority w:val="0"/>
    <w:pPr>
      <w:widowControl w:val="0"/>
      <w:jc w:val="both"/>
    </w:pPr>
    <w:rPr>
      <w:rFonts w:ascii="Cambria" w:eastAsia="Cambria"/>
      <w:b/>
      <w:kern w:val="2"/>
      <w:sz w:val="32"/>
      <w:szCs w:val="32"/>
    </w:rPr>
  </w:style>
  <w:style w:type="paragraph" w:customStyle="1" w:styleId="24">
    <w:name w:val="Char"/>
    <w:basedOn w:val="14"/>
    <w:link w:val="22"/>
    <w:qFormat/>
    <w:uiPriority w:val="0"/>
    <w:pPr>
      <w:widowControl w:val="0"/>
      <w:jc w:val="both"/>
    </w:pPr>
    <w:rPr>
      <w:rFonts w:ascii="Calibri" w:hAnsi="Calibri" w:cs="仿宋_GB2312"/>
      <w:kern w:val="2"/>
      <w:sz w:val="24"/>
      <w:szCs w:val="28"/>
    </w:rPr>
  </w:style>
  <w:style w:type="character" w:customStyle="1" w:styleId="25">
    <w:name w:val="标题 1 Char"/>
    <w:link w:val="4"/>
    <w:qFormat/>
    <w:uiPriority w:val="0"/>
    <w:rPr>
      <w:rFonts w:ascii="方正小标宋简体" w:hAnsi="方正小标宋简体" w:eastAsia="宋体"/>
      <w:b/>
      <w:bCs/>
      <w:kern w:val="44"/>
      <w:sz w:val="44"/>
      <w:szCs w:val="44"/>
    </w:rPr>
  </w:style>
  <w:style w:type="character" w:customStyle="1" w:styleId="26">
    <w:name w:val="标题 2 Char"/>
    <w:link w:val="5"/>
    <w:qFormat/>
    <w:uiPriority w:val="0"/>
    <w:rPr>
      <w:rFonts w:ascii="Arial" w:hAnsi="Arial" w:eastAsia="宋体"/>
      <w:b/>
      <w:bCs/>
      <w:sz w:val="30"/>
      <w:szCs w:val="32"/>
    </w:rPr>
  </w:style>
  <w:style w:type="character" w:customStyle="1" w:styleId="27">
    <w:name w:val="标题 3 Char"/>
    <w:link w:val="6"/>
    <w:qFormat/>
    <w:uiPriority w:val="0"/>
    <w:rPr>
      <w:rFonts w:ascii="Times New Roman" w:hAnsi="Times New Roman" w:eastAsia="黑体"/>
      <w:bCs/>
      <w:kern w:val="2"/>
      <w:sz w:val="24"/>
      <w:szCs w:val="32"/>
    </w:rPr>
  </w:style>
  <w:style w:type="character" w:customStyle="1" w:styleId="28">
    <w:name w:val="正文文本 Char"/>
    <w:link w:val="2"/>
    <w:qFormat/>
    <w:uiPriority w:val="99"/>
    <w:rPr>
      <w:rFonts w:eastAsia="仿宋_GB2312" w:cs="Times New Roman"/>
      <w:b/>
    </w:rPr>
  </w:style>
  <w:style w:type="character" w:customStyle="1" w:styleId="29">
    <w:name w:val="标题 4 Char"/>
    <w:link w:val="7"/>
    <w:qFormat/>
    <w:uiPriority w:val="0"/>
    <w:rPr>
      <w:rFonts w:ascii="Arial" w:hAnsi="Arial" w:eastAsia="宋体"/>
      <w:bCs/>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2021-10-27T11:31:00Z</dcterms:created>
  <dc:creator>Corgi </dc:creator>
  <cp:lastModifiedBy>Corgi </cp:lastModifiedBy>
  <dcterms:modified xsi:type="dcterms:W3CDTF">2021-10-27T11:35:02Z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648B4C41BDA94D0EA11CFEE9E69020A0</vt:lpwstr>
  </property>
</Properties>
</file>