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autoSpaceDE/>
        <w:autoSpaceDN/>
        <w:bidi w:val="0"/>
        <w:spacing w:line="520" w:lineRule="exact"/>
        <w:jc w:val="center"/>
        <w:rPr>
          <w:rFonts w:hint="eastAsia" w:ascii="宋体" w:hAnsi="宋体" w:eastAsia="宋体" w:cs="宋体"/>
          <w:b/>
          <w:sz w:val="30"/>
          <w:szCs w:val="30"/>
          <w:highlight w:val="none"/>
        </w:rPr>
      </w:pPr>
      <w:r>
        <w:rPr>
          <w:rFonts w:hint="eastAsia" w:ascii="宋体" w:hAnsi="宋体" w:eastAsia="宋体" w:cs="宋体"/>
          <w:b/>
          <w:sz w:val="30"/>
          <w:szCs w:val="30"/>
          <w:highlight w:val="none"/>
          <w:lang w:eastAsia="zh-CN"/>
        </w:rPr>
        <w:t>临沂市费县台子沟水库灌浆截渗工程</w:t>
      </w:r>
      <w:r>
        <w:rPr>
          <w:rFonts w:hint="eastAsia" w:ascii="宋体" w:hAnsi="宋体" w:eastAsia="宋体" w:cs="宋体"/>
          <w:b/>
          <w:sz w:val="30"/>
          <w:szCs w:val="30"/>
          <w:highlight w:val="none"/>
          <w:lang w:val="en-US" w:eastAsia="zh-CN"/>
        </w:rPr>
        <w:t>施工标、监理标</w:t>
      </w:r>
      <w:r>
        <w:rPr>
          <w:rFonts w:hint="eastAsia" w:ascii="宋体" w:hAnsi="宋体" w:eastAsia="宋体" w:cs="宋体"/>
          <w:b/>
          <w:sz w:val="30"/>
          <w:szCs w:val="30"/>
          <w:highlight w:val="none"/>
        </w:rPr>
        <w:t>招标公告</w:t>
      </w:r>
    </w:p>
    <w:p>
      <w:pPr>
        <w:pageBreakBefore w:val="0"/>
        <w:kinsoku/>
        <w:wordWrap/>
        <w:overflowPunct/>
        <w:topLinePunct w:val="0"/>
        <w:autoSpaceDE/>
        <w:autoSpaceDN/>
        <w:bidi w:val="0"/>
        <w:snapToGrid w:val="0"/>
        <w:spacing w:line="520" w:lineRule="exact"/>
        <w:ind w:firstLine="482" w:firstLineChars="200"/>
        <w:rPr>
          <w:rFonts w:hint="eastAsia" w:ascii="宋体" w:hAnsi="宋体" w:eastAsia="宋体" w:cs="宋体"/>
          <w:b/>
          <w:bCs/>
          <w:highlight w:val="none"/>
        </w:rPr>
      </w:pPr>
      <w:r>
        <w:rPr>
          <w:rFonts w:hint="eastAsia" w:cs="宋体"/>
          <w:b/>
          <w:bCs/>
          <w:highlight w:val="none"/>
          <w:lang w:val="en-US" w:eastAsia="zh-CN"/>
        </w:rPr>
        <w:t>一、</w:t>
      </w:r>
      <w:r>
        <w:rPr>
          <w:rFonts w:hint="eastAsia" w:ascii="宋体" w:hAnsi="宋体" w:eastAsia="宋体" w:cs="宋体"/>
          <w:b/>
          <w:bCs/>
          <w:highlight w:val="none"/>
        </w:rPr>
        <w:t>招标条件</w:t>
      </w:r>
    </w:p>
    <w:p>
      <w:pPr>
        <w:pageBreakBefore w:val="0"/>
        <w:kinsoku/>
        <w:wordWrap/>
        <w:overflowPunct/>
        <w:topLinePunct w:val="0"/>
        <w:autoSpaceDE/>
        <w:autoSpaceDN/>
        <w:bidi w:val="0"/>
        <w:snapToGrid w:val="0"/>
        <w:spacing w:line="520" w:lineRule="exact"/>
        <w:ind w:firstLine="480" w:firstLineChars="200"/>
        <w:rPr>
          <w:rFonts w:hint="eastAsia" w:ascii="宋体" w:hAnsi="宋体" w:eastAsia="宋体" w:cs="宋体"/>
          <w:bCs/>
          <w:highlight w:val="none"/>
        </w:rPr>
      </w:pPr>
      <w:r>
        <w:rPr>
          <w:rFonts w:hint="eastAsia" w:ascii="宋体" w:hAnsi="宋体" w:eastAsia="宋体" w:cs="宋体"/>
          <w:bCs/>
          <w:highlight w:val="none"/>
          <w:lang w:eastAsia="zh-CN"/>
        </w:rPr>
        <w:t>临沂市费县台子沟水库灌浆截渗工程</w:t>
      </w:r>
      <w:r>
        <w:rPr>
          <w:rFonts w:hint="eastAsia" w:ascii="宋体" w:hAnsi="宋体" w:eastAsia="宋体" w:cs="宋体"/>
          <w:bCs/>
          <w:highlight w:val="none"/>
        </w:rPr>
        <w:t>已经</w:t>
      </w:r>
      <w:r>
        <w:rPr>
          <w:rFonts w:hint="eastAsia" w:ascii="宋体" w:hAnsi="宋体" w:eastAsia="宋体" w:cs="宋体"/>
          <w:bCs/>
          <w:highlight w:val="none"/>
          <w:lang w:val="en-US" w:eastAsia="zh-CN"/>
        </w:rPr>
        <w:t>费县水利局</w:t>
      </w:r>
      <w:r>
        <w:rPr>
          <w:rFonts w:hint="eastAsia" w:ascii="宋体" w:hAnsi="宋体" w:eastAsia="宋体" w:cs="宋体"/>
          <w:bCs/>
          <w:highlight w:val="none"/>
        </w:rPr>
        <w:t>以“</w:t>
      </w:r>
      <w:r>
        <w:rPr>
          <w:rFonts w:hint="eastAsia" w:ascii="宋体" w:hAnsi="宋体" w:eastAsia="宋体" w:cs="宋体"/>
          <w:bCs/>
          <w:highlight w:val="none"/>
          <w:lang w:val="en-US" w:eastAsia="zh-CN"/>
        </w:rPr>
        <w:t>费</w:t>
      </w:r>
      <w:r>
        <w:rPr>
          <w:rFonts w:hint="eastAsia" w:ascii="宋体" w:hAnsi="宋体" w:eastAsia="宋体" w:cs="宋体"/>
          <w:bCs/>
          <w:highlight w:val="none"/>
        </w:rPr>
        <w:t>水</w:t>
      </w:r>
      <w:r>
        <w:rPr>
          <w:rFonts w:hint="eastAsia" w:ascii="宋体" w:hAnsi="宋体" w:eastAsia="宋体" w:cs="宋体"/>
          <w:bCs/>
          <w:highlight w:val="none"/>
          <w:lang w:val="en-US" w:eastAsia="zh-CN"/>
        </w:rPr>
        <w:t>发</w:t>
      </w:r>
      <w:r>
        <w:rPr>
          <w:rFonts w:hint="eastAsia" w:ascii="宋体" w:hAnsi="宋体" w:eastAsia="宋体" w:cs="宋体"/>
          <w:bCs/>
          <w:highlight w:val="none"/>
        </w:rPr>
        <w:t>[2021]</w:t>
      </w:r>
      <w:r>
        <w:rPr>
          <w:rFonts w:hint="eastAsia" w:ascii="宋体" w:hAnsi="宋体" w:eastAsia="宋体" w:cs="宋体"/>
          <w:bCs/>
          <w:highlight w:val="none"/>
          <w:lang w:val="en-US" w:eastAsia="zh-CN"/>
        </w:rPr>
        <w:t>34</w:t>
      </w:r>
      <w:r>
        <w:rPr>
          <w:rFonts w:hint="eastAsia" w:ascii="宋体" w:hAnsi="宋体" w:eastAsia="宋体" w:cs="宋体"/>
          <w:bCs/>
          <w:highlight w:val="none"/>
        </w:rPr>
        <w:t>号”批准建设，项目法人和招标人为</w:t>
      </w:r>
      <w:r>
        <w:rPr>
          <w:rFonts w:hint="eastAsia" w:ascii="宋体" w:hAnsi="宋体" w:eastAsia="宋体" w:cs="宋体"/>
          <w:bCs/>
          <w:highlight w:val="none"/>
          <w:lang w:eastAsia="zh-CN"/>
        </w:rPr>
        <w:t>费县小型水库除险加固工程建设管理处</w:t>
      </w:r>
      <w:r>
        <w:rPr>
          <w:rFonts w:hint="eastAsia" w:ascii="宋体" w:hAnsi="宋体" w:eastAsia="宋体" w:cs="宋体"/>
          <w:bCs/>
          <w:highlight w:val="none"/>
        </w:rPr>
        <w:t>，建设资金已经落实，项目已具备招标条件。现委托</w:t>
      </w:r>
      <w:r>
        <w:rPr>
          <w:rFonts w:hint="eastAsia" w:ascii="宋体" w:hAnsi="宋体" w:eastAsia="宋体" w:cs="宋体"/>
          <w:bCs/>
          <w:highlight w:val="none"/>
          <w:lang w:eastAsia="zh-CN"/>
        </w:rPr>
        <w:t>山东蓝盾招标代理有限公司</w:t>
      </w:r>
      <w:r>
        <w:rPr>
          <w:rFonts w:hint="eastAsia" w:ascii="宋体" w:hAnsi="宋体" w:eastAsia="宋体" w:cs="宋体"/>
          <w:bCs/>
          <w:highlight w:val="none"/>
        </w:rPr>
        <w:t>对该项目施工标、监理标进行国内公开招标。</w:t>
      </w:r>
    </w:p>
    <w:p>
      <w:pPr>
        <w:pageBreakBefore w:val="0"/>
        <w:numPr>
          <w:numId w:val="0"/>
        </w:numPr>
        <w:kinsoku/>
        <w:wordWrap/>
        <w:overflowPunct/>
        <w:topLinePunct w:val="0"/>
        <w:autoSpaceDE/>
        <w:autoSpaceDN/>
        <w:bidi w:val="0"/>
        <w:snapToGrid w:val="0"/>
        <w:spacing w:line="520" w:lineRule="exact"/>
        <w:ind w:firstLine="241" w:firstLineChars="100"/>
        <w:rPr>
          <w:rFonts w:hint="eastAsia" w:ascii="宋体" w:hAnsi="宋体" w:eastAsia="宋体" w:cs="宋体"/>
          <w:b/>
          <w:bCs/>
          <w:highlight w:val="none"/>
        </w:rPr>
      </w:pPr>
      <w:r>
        <w:rPr>
          <w:rFonts w:hint="eastAsia" w:cs="宋体"/>
          <w:b/>
          <w:bCs/>
          <w:highlight w:val="none"/>
          <w:lang w:val="en-US" w:eastAsia="zh-CN"/>
        </w:rPr>
        <w:t>二、</w:t>
      </w:r>
      <w:r>
        <w:rPr>
          <w:rFonts w:hint="eastAsia" w:ascii="宋体" w:hAnsi="宋体" w:eastAsia="宋体" w:cs="宋体"/>
          <w:b/>
          <w:bCs/>
          <w:highlight w:val="none"/>
        </w:rPr>
        <w:t>项目概况与招标范围</w:t>
      </w:r>
    </w:p>
    <w:p>
      <w:pPr>
        <w:pStyle w:val="20"/>
        <w:pageBreakBefore w:val="0"/>
        <w:numPr>
          <w:ilvl w:val="0"/>
          <w:numId w:val="0"/>
        </w:numPr>
        <w:kinsoku/>
        <w:wordWrap/>
        <w:overflowPunct/>
        <w:topLinePunct w:val="0"/>
        <w:autoSpaceDE/>
        <w:autoSpaceDN/>
        <w:bidi w:val="0"/>
        <w:spacing w:line="520" w:lineRule="exact"/>
        <w:ind w:left="0" w:leftChars="0" w:firstLine="720" w:firstLineChars="300"/>
        <w:jc w:val="left"/>
        <w:rPr>
          <w:rFonts w:hint="eastAsia" w:ascii="宋体" w:hAnsi="宋体" w:eastAsia="宋体" w:cs="宋体"/>
          <w:bCs/>
          <w:kern w:val="0"/>
          <w:sz w:val="24"/>
          <w:szCs w:val="24"/>
          <w:highlight w:val="none"/>
          <w:lang w:val="en-US" w:eastAsia="zh-CN" w:bidi="ar-SA"/>
        </w:rPr>
      </w:pPr>
      <w:r>
        <w:rPr>
          <w:rFonts w:hint="eastAsia" w:ascii="宋体" w:hAnsi="宋体" w:eastAsia="宋体" w:cs="宋体"/>
          <w:bCs/>
          <w:kern w:val="0"/>
          <w:sz w:val="24"/>
          <w:szCs w:val="24"/>
          <w:highlight w:val="none"/>
          <w:lang w:val="en-US" w:eastAsia="zh-CN" w:bidi="ar-SA"/>
        </w:rPr>
        <w:t>1、项目概况：临沂市费县台子沟水库灌浆截渗工程施工标、监理标。</w:t>
      </w:r>
    </w:p>
    <w:p>
      <w:pPr>
        <w:pStyle w:val="20"/>
        <w:pageBreakBefore w:val="0"/>
        <w:numPr>
          <w:ilvl w:val="0"/>
          <w:numId w:val="0"/>
        </w:numPr>
        <w:kinsoku/>
        <w:wordWrap/>
        <w:overflowPunct/>
        <w:topLinePunct w:val="0"/>
        <w:autoSpaceDE/>
        <w:autoSpaceDN/>
        <w:bidi w:val="0"/>
        <w:spacing w:line="520" w:lineRule="exact"/>
        <w:ind w:left="0" w:leftChars="0" w:firstLine="720" w:firstLineChars="300"/>
        <w:jc w:val="left"/>
        <w:rPr>
          <w:rFonts w:hint="eastAsia" w:ascii="宋体" w:hAnsi="宋体" w:eastAsia="宋体" w:cs="宋体"/>
          <w:bCs/>
          <w:kern w:val="0"/>
          <w:sz w:val="24"/>
          <w:szCs w:val="24"/>
          <w:highlight w:val="none"/>
          <w:lang w:val="en-US" w:eastAsia="zh-CN" w:bidi="ar-SA"/>
        </w:rPr>
      </w:pPr>
      <w:r>
        <w:rPr>
          <w:rFonts w:hint="eastAsia" w:ascii="宋体" w:hAnsi="宋体" w:eastAsia="宋体" w:cs="宋体"/>
          <w:bCs/>
          <w:kern w:val="0"/>
          <w:sz w:val="24"/>
          <w:szCs w:val="24"/>
          <w:highlight w:val="none"/>
          <w:lang w:val="en-US" w:eastAsia="zh-CN" w:bidi="ar-SA"/>
        </w:rPr>
        <w:t>2、建设地点：临沂市费县台子沟水库。</w:t>
      </w:r>
    </w:p>
    <w:p>
      <w:pPr>
        <w:pStyle w:val="20"/>
        <w:pageBreakBefore w:val="0"/>
        <w:numPr>
          <w:ilvl w:val="0"/>
          <w:numId w:val="0"/>
        </w:numPr>
        <w:kinsoku/>
        <w:wordWrap/>
        <w:overflowPunct/>
        <w:topLinePunct w:val="0"/>
        <w:autoSpaceDE/>
        <w:autoSpaceDN/>
        <w:bidi w:val="0"/>
        <w:spacing w:line="520" w:lineRule="exact"/>
        <w:ind w:left="0" w:leftChars="0" w:firstLine="720" w:firstLineChars="300"/>
        <w:jc w:val="left"/>
        <w:rPr>
          <w:rFonts w:hint="eastAsia" w:ascii="宋体" w:hAnsi="宋体" w:eastAsia="宋体" w:cs="宋体"/>
          <w:bCs/>
          <w:kern w:val="0"/>
          <w:sz w:val="24"/>
          <w:szCs w:val="24"/>
          <w:highlight w:val="none"/>
          <w:lang w:val="en-US" w:eastAsia="zh-CN" w:bidi="ar-SA"/>
        </w:rPr>
      </w:pPr>
      <w:r>
        <w:rPr>
          <w:rFonts w:hint="eastAsia" w:ascii="宋体" w:hAnsi="宋体" w:eastAsia="宋体" w:cs="宋体"/>
          <w:bCs/>
          <w:kern w:val="0"/>
          <w:sz w:val="24"/>
          <w:szCs w:val="24"/>
          <w:highlight w:val="none"/>
          <w:lang w:val="en-US" w:eastAsia="zh-CN" w:bidi="ar-SA"/>
        </w:rPr>
        <w:t>3、建设规模：总投资约</w:t>
      </w:r>
      <w:r>
        <w:rPr>
          <w:rFonts w:hint="eastAsia" w:ascii="宋体" w:hAnsi="宋体" w:cs="宋体"/>
          <w:bCs/>
          <w:kern w:val="0"/>
          <w:sz w:val="24"/>
          <w:szCs w:val="24"/>
          <w:highlight w:val="none"/>
          <w:lang w:val="en-US" w:eastAsia="zh-CN" w:bidi="ar-SA"/>
        </w:rPr>
        <w:t>2147345.55</w:t>
      </w:r>
      <w:r>
        <w:rPr>
          <w:rFonts w:hint="eastAsia" w:ascii="宋体" w:hAnsi="宋体" w:eastAsia="宋体" w:cs="宋体"/>
          <w:bCs/>
          <w:kern w:val="0"/>
          <w:sz w:val="24"/>
          <w:szCs w:val="24"/>
          <w:highlight w:val="none"/>
          <w:lang w:val="en-US" w:eastAsia="zh-CN" w:bidi="ar-SA"/>
        </w:rPr>
        <w:t>元</w:t>
      </w:r>
      <w:r>
        <w:rPr>
          <w:rFonts w:hint="eastAsia" w:ascii="宋体" w:hAnsi="宋体" w:cs="宋体"/>
          <w:bCs/>
          <w:kern w:val="0"/>
          <w:sz w:val="24"/>
          <w:szCs w:val="24"/>
          <w:highlight w:val="none"/>
          <w:lang w:val="en-US" w:eastAsia="zh-CN" w:bidi="ar-SA"/>
        </w:rPr>
        <w:t>。</w:t>
      </w:r>
    </w:p>
    <w:p>
      <w:pPr>
        <w:pStyle w:val="20"/>
        <w:pageBreakBefore w:val="0"/>
        <w:numPr>
          <w:ilvl w:val="0"/>
          <w:numId w:val="0"/>
        </w:numPr>
        <w:kinsoku/>
        <w:wordWrap/>
        <w:overflowPunct/>
        <w:topLinePunct w:val="0"/>
        <w:autoSpaceDE/>
        <w:autoSpaceDN/>
        <w:bidi w:val="0"/>
        <w:spacing w:line="520" w:lineRule="exact"/>
        <w:ind w:left="0" w:leftChars="0" w:firstLine="720" w:firstLineChars="300"/>
        <w:jc w:val="left"/>
        <w:rPr>
          <w:rFonts w:hint="eastAsia" w:ascii="宋体" w:hAnsi="宋体" w:eastAsia="宋体" w:cs="宋体"/>
          <w:bCs/>
          <w:kern w:val="0"/>
          <w:sz w:val="24"/>
          <w:szCs w:val="24"/>
          <w:highlight w:val="none"/>
          <w:lang w:val="en-US" w:eastAsia="zh-CN" w:bidi="ar-SA"/>
        </w:rPr>
      </w:pPr>
      <w:r>
        <w:rPr>
          <w:rFonts w:hint="eastAsia" w:ascii="宋体" w:hAnsi="宋体" w:eastAsia="宋体" w:cs="宋体"/>
          <w:bCs/>
          <w:kern w:val="0"/>
          <w:sz w:val="24"/>
          <w:szCs w:val="24"/>
          <w:highlight w:val="none"/>
          <w:lang w:val="en-US" w:eastAsia="zh-CN" w:bidi="ar-SA"/>
        </w:rPr>
        <w:t>4、标段划分：本项目划分</w:t>
      </w:r>
      <w:r>
        <w:rPr>
          <w:rFonts w:hint="eastAsia" w:ascii="宋体" w:hAnsi="宋体" w:cs="宋体"/>
          <w:bCs/>
          <w:kern w:val="0"/>
          <w:sz w:val="24"/>
          <w:szCs w:val="24"/>
          <w:highlight w:val="none"/>
          <w:lang w:val="en-US" w:eastAsia="zh-CN" w:bidi="ar-SA"/>
        </w:rPr>
        <w:t>为两个</w:t>
      </w:r>
      <w:r>
        <w:rPr>
          <w:rFonts w:hint="eastAsia" w:ascii="宋体" w:hAnsi="宋体" w:eastAsia="宋体" w:cs="宋体"/>
          <w:bCs/>
          <w:kern w:val="0"/>
          <w:sz w:val="24"/>
          <w:szCs w:val="24"/>
          <w:highlight w:val="none"/>
          <w:lang w:val="en-US" w:eastAsia="zh-CN" w:bidi="ar-SA"/>
        </w:rPr>
        <w:t>标段。</w:t>
      </w:r>
    </w:p>
    <w:p>
      <w:pPr>
        <w:pStyle w:val="20"/>
        <w:pageBreakBefore w:val="0"/>
        <w:numPr>
          <w:ilvl w:val="0"/>
          <w:numId w:val="0"/>
        </w:numPr>
        <w:kinsoku/>
        <w:wordWrap/>
        <w:overflowPunct/>
        <w:topLinePunct w:val="0"/>
        <w:autoSpaceDE/>
        <w:autoSpaceDN/>
        <w:bidi w:val="0"/>
        <w:spacing w:line="520" w:lineRule="exact"/>
        <w:ind w:left="0" w:leftChars="0" w:firstLine="720" w:firstLineChars="300"/>
        <w:jc w:val="left"/>
        <w:rPr>
          <w:rFonts w:hint="eastAsia" w:ascii="宋体" w:hAnsi="宋体" w:eastAsia="宋体" w:cs="宋体"/>
          <w:bCs/>
          <w:kern w:val="0"/>
          <w:sz w:val="24"/>
          <w:szCs w:val="24"/>
          <w:highlight w:val="none"/>
          <w:lang w:val="en-US" w:eastAsia="zh-CN" w:bidi="ar-SA"/>
        </w:rPr>
      </w:pPr>
      <w:r>
        <w:rPr>
          <w:rFonts w:hint="eastAsia" w:ascii="宋体" w:hAnsi="宋体" w:eastAsia="宋体" w:cs="宋体"/>
          <w:bCs/>
          <w:kern w:val="0"/>
          <w:sz w:val="24"/>
          <w:szCs w:val="24"/>
          <w:highlight w:val="none"/>
          <w:lang w:val="en-US" w:eastAsia="zh-CN" w:bidi="ar-SA"/>
        </w:rPr>
        <w:t>5、招标范围：详见图纸及工程量清单编制所含全部内容。</w:t>
      </w:r>
    </w:p>
    <w:p>
      <w:pPr>
        <w:pStyle w:val="20"/>
        <w:pageBreakBefore w:val="0"/>
        <w:numPr>
          <w:ilvl w:val="0"/>
          <w:numId w:val="0"/>
        </w:numPr>
        <w:kinsoku/>
        <w:wordWrap/>
        <w:overflowPunct/>
        <w:topLinePunct w:val="0"/>
        <w:autoSpaceDE/>
        <w:autoSpaceDN/>
        <w:bidi w:val="0"/>
        <w:spacing w:line="520" w:lineRule="exact"/>
        <w:ind w:left="0" w:leftChars="0" w:firstLine="720" w:firstLineChars="300"/>
        <w:jc w:val="left"/>
        <w:rPr>
          <w:rFonts w:hint="eastAsia" w:ascii="宋体" w:hAnsi="宋体" w:eastAsia="宋体" w:cs="宋体"/>
          <w:bCs/>
          <w:kern w:val="0"/>
          <w:sz w:val="24"/>
          <w:szCs w:val="24"/>
          <w:highlight w:val="none"/>
          <w:lang w:val="en-US" w:eastAsia="zh-CN" w:bidi="ar-SA"/>
        </w:rPr>
      </w:pPr>
      <w:r>
        <w:rPr>
          <w:rFonts w:hint="eastAsia" w:ascii="宋体" w:hAnsi="宋体" w:eastAsia="宋体" w:cs="宋体"/>
          <w:bCs/>
          <w:kern w:val="0"/>
          <w:sz w:val="24"/>
          <w:szCs w:val="24"/>
          <w:highlight w:val="none"/>
          <w:lang w:val="en-US" w:eastAsia="zh-CN" w:bidi="ar-SA"/>
        </w:rPr>
        <w:t>6、计划工期：30日历天</w:t>
      </w:r>
    </w:p>
    <w:p>
      <w:pPr>
        <w:pStyle w:val="20"/>
        <w:pageBreakBefore w:val="0"/>
        <w:numPr>
          <w:ilvl w:val="0"/>
          <w:numId w:val="0"/>
        </w:numPr>
        <w:kinsoku/>
        <w:wordWrap/>
        <w:overflowPunct/>
        <w:topLinePunct w:val="0"/>
        <w:autoSpaceDE/>
        <w:autoSpaceDN/>
        <w:bidi w:val="0"/>
        <w:spacing w:line="520" w:lineRule="exact"/>
        <w:ind w:left="0" w:leftChars="0" w:firstLine="720" w:firstLineChars="300"/>
        <w:jc w:val="left"/>
        <w:rPr>
          <w:rFonts w:hint="eastAsia" w:ascii="宋体" w:hAnsi="宋体" w:eastAsia="宋体" w:cs="宋体"/>
          <w:bCs/>
          <w:kern w:val="0"/>
          <w:sz w:val="24"/>
          <w:szCs w:val="24"/>
          <w:highlight w:val="none"/>
          <w:lang w:val="en-US" w:eastAsia="zh-CN" w:bidi="ar-SA"/>
        </w:rPr>
      </w:pPr>
      <w:r>
        <w:rPr>
          <w:rFonts w:hint="eastAsia" w:ascii="宋体" w:hAnsi="宋体" w:eastAsia="宋体" w:cs="宋体"/>
          <w:bCs/>
          <w:kern w:val="0"/>
          <w:sz w:val="24"/>
          <w:szCs w:val="24"/>
          <w:highlight w:val="none"/>
          <w:lang w:val="en-US" w:eastAsia="zh-CN" w:bidi="ar-SA"/>
        </w:rPr>
        <w:t>7、工程质量：要求达到国家相关施工验收规范规定的合格标准。</w:t>
      </w:r>
    </w:p>
    <w:p>
      <w:pPr>
        <w:pStyle w:val="20"/>
        <w:pageBreakBefore w:val="0"/>
        <w:numPr>
          <w:ilvl w:val="0"/>
          <w:numId w:val="0"/>
        </w:numPr>
        <w:kinsoku/>
        <w:wordWrap/>
        <w:overflowPunct/>
        <w:topLinePunct w:val="0"/>
        <w:autoSpaceDE/>
        <w:autoSpaceDN/>
        <w:bidi w:val="0"/>
        <w:spacing w:line="520" w:lineRule="exact"/>
        <w:ind w:left="0" w:leftChars="0" w:firstLine="720" w:firstLineChars="300"/>
        <w:jc w:val="left"/>
        <w:rPr>
          <w:rFonts w:hint="eastAsia" w:ascii="宋体" w:hAnsi="宋体" w:eastAsia="宋体" w:cs="宋体"/>
          <w:bCs/>
          <w:kern w:val="0"/>
          <w:sz w:val="24"/>
          <w:szCs w:val="24"/>
          <w:highlight w:val="none"/>
          <w:lang w:val="en-US" w:eastAsia="zh-CN" w:bidi="ar-SA"/>
        </w:rPr>
      </w:pPr>
      <w:r>
        <w:rPr>
          <w:rFonts w:hint="eastAsia" w:ascii="宋体" w:hAnsi="宋体" w:eastAsia="宋体" w:cs="宋体"/>
          <w:bCs/>
          <w:kern w:val="0"/>
          <w:sz w:val="24"/>
          <w:szCs w:val="24"/>
          <w:highlight w:val="none"/>
          <w:lang w:val="en-US" w:eastAsia="zh-CN" w:bidi="ar-SA"/>
        </w:rPr>
        <w:t>8、资金来源：</w:t>
      </w:r>
      <w:r>
        <w:rPr>
          <w:rFonts w:hint="eastAsia" w:ascii="宋体" w:hAnsi="宋体" w:cs="宋体"/>
          <w:bCs/>
          <w:kern w:val="0"/>
          <w:sz w:val="24"/>
          <w:szCs w:val="24"/>
          <w:highlight w:val="none"/>
          <w:lang w:val="en-US" w:eastAsia="zh-CN" w:bidi="ar-SA"/>
        </w:rPr>
        <w:t>财政</w:t>
      </w:r>
      <w:r>
        <w:rPr>
          <w:rFonts w:hint="eastAsia" w:ascii="宋体" w:hAnsi="宋体" w:eastAsia="宋体" w:cs="宋体"/>
          <w:bCs/>
          <w:kern w:val="0"/>
          <w:sz w:val="24"/>
          <w:szCs w:val="24"/>
          <w:highlight w:val="none"/>
          <w:lang w:val="en-US" w:eastAsia="zh-CN" w:bidi="ar-SA"/>
        </w:rPr>
        <w:t>资金。</w:t>
      </w:r>
    </w:p>
    <w:p>
      <w:pPr>
        <w:pageBreakBefore w:val="0"/>
        <w:numPr>
          <w:ilvl w:val="0"/>
          <w:numId w:val="0"/>
        </w:numPr>
        <w:kinsoku/>
        <w:wordWrap/>
        <w:overflowPunct/>
        <w:topLinePunct w:val="0"/>
        <w:autoSpaceDE/>
        <w:autoSpaceDN/>
        <w:bidi w:val="0"/>
        <w:snapToGrid w:val="0"/>
        <w:spacing w:line="520" w:lineRule="exact"/>
        <w:ind w:firstLine="241" w:firstLineChars="100"/>
        <w:rPr>
          <w:rFonts w:hint="eastAsia" w:cs="宋体"/>
          <w:b/>
          <w:bCs/>
          <w:highlight w:val="none"/>
          <w:lang w:val="en-US" w:eastAsia="zh-CN"/>
        </w:rPr>
      </w:pPr>
      <w:r>
        <w:rPr>
          <w:rFonts w:hint="eastAsia" w:cs="宋体"/>
          <w:b/>
          <w:bCs/>
          <w:highlight w:val="none"/>
          <w:lang w:val="en-US" w:eastAsia="zh-CN"/>
        </w:rPr>
        <w:t>三、投标人资格要求</w:t>
      </w:r>
    </w:p>
    <w:p>
      <w:pPr>
        <w:pageBreakBefore w:val="0"/>
        <w:kinsoku/>
        <w:wordWrap/>
        <w:overflowPunct/>
        <w:topLinePunct w:val="0"/>
        <w:autoSpaceDE/>
        <w:autoSpaceDN/>
        <w:bidi w:val="0"/>
        <w:snapToGrid w:val="0"/>
        <w:spacing w:line="520" w:lineRule="exact"/>
        <w:ind w:firstLine="480" w:firstLineChars="200"/>
        <w:rPr>
          <w:rFonts w:hint="eastAsia" w:ascii="宋体" w:hAnsi="宋体" w:eastAsia="宋体" w:cs="宋体"/>
          <w:bCs/>
          <w:highlight w:val="none"/>
        </w:rPr>
      </w:pPr>
      <w:r>
        <w:rPr>
          <w:rFonts w:hint="eastAsia" w:cs="宋体"/>
          <w:bCs/>
          <w:highlight w:val="none"/>
          <w:lang w:val="en-US" w:eastAsia="zh-CN"/>
        </w:rPr>
        <w:t>3</w:t>
      </w:r>
      <w:r>
        <w:rPr>
          <w:rFonts w:hint="eastAsia" w:ascii="宋体" w:hAnsi="宋体" w:eastAsia="宋体" w:cs="宋体"/>
          <w:bCs/>
          <w:highlight w:val="none"/>
          <w:lang w:val="en-US" w:eastAsia="zh-CN"/>
        </w:rPr>
        <w:t>.</w:t>
      </w:r>
      <w:r>
        <w:rPr>
          <w:rFonts w:hint="eastAsia" w:ascii="宋体" w:hAnsi="宋体" w:eastAsia="宋体" w:cs="宋体"/>
          <w:bCs/>
          <w:highlight w:val="none"/>
        </w:rPr>
        <w:t>1在中国境内注册具有独立法人资格的单位。</w:t>
      </w:r>
    </w:p>
    <w:p>
      <w:pPr>
        <w:pageBreakBefore w:val="0"/>
        <w:kinsoku/>
        <w:wordWrap/>
        <w:overflowPunct/>
        <w:topLinePunct w:val="0"/>
        <w:autoSpaceDE/>
        <w:autoSpaceDN/>
        <w:bidi w:val="0"/>
        <w:snapToGrid w:val="0"/>
        <w:spacing w:line="520" w:lineRule="exact"/>
        <w:ind w:firstLine="480" w:firstLineChars="200"/>
        <w:rPr>
          <w:rFonts w:hint="eastAsia" w:ascii="宋体" w:hAnsi="宋体" w:eastAsia="宋体" w:cs="宋体"/>
          <w:bCs/>
          <w:highlight w:val="none"/>
        </w:rPr>
      </w:pPr>
      <w:r>
        <w:rPr>
          <w:rFonts w:hint="eastAsia" w:cs="宋体"/>
          <w:bCs/>
          <w:highlight w:val="none"/>
          <w:lang w:val="en-US" w:eastAsia="zh-CN"/>
        </w:rPr>
        <w:t>3</w:t>
      </w:r>
      <w:r>
        <w:rPr>
          <w:rFonts w:hint="eastAsia" w:ascii="宋体" w:hAnsi="宋体" w:eastAsia="宋体" w:cs="宋体"/>
          <w:bCs/>
          <w:highlight w:val="none"/>
          <w:lang w:val="en-US" w:eastAsia="zh-CN"/>
        </w:rPr>
        <w:t>.</w:t>
      </w:r>
      <w:r>
        <w:rPr>
          <w:rFonts w:hint="eastAsia" w:ascii="宋体" w:hAnsi="宋体" w:eastAsia="宋体" w:cs="宋体"/>
          <w:bCs/>
          <w:highlight w:val="none"/>
        </w:rPr>
        <w:t>2投标人资格：</w:t>
      </w:r>
    </w:p>
    <w:p>
      <w:pPr>
        <w:pageBreakBefore w:val="0"/>
        <w:kinsoku/>
        <w:wordWrap/>
        <w:overflowPunct/>
        <w:topLinePunct w:val="0"/>
        <w:autoSpaceDE/>
        <w:autoSpaceDN/>
        <w:bidi w:val="0"/>
        <w:snapToGrid w:val="0"/>
        <w:spacing w:line="520" w:lineRule="exact"/>
        <w:ind w:firstLine="480" w:firstLineChars="200"/>
        <w:rPr>
          <w:rFonts w:hint="eastAsia" w:ascii="宋体" w:hAnsi="宋体" w:eastAsia="宋体" w:cs="宋体"/>
          <w:bCs/>
          <w:highlight w:val="none"/>
          <w:lang w:val="en-US" w:eastAsia="zh-CN"/>
        </w:rPr>
      </w:pPr>
      <w:r>
        <w:rPr>
          <w:rFonts w:hint="eastAsia" w:cs="宋体"/>
          <w:bCs/>
          <w:highlight w:val="none"/>
          <w:lang w:val="en-US" w:eastAsia="zh-CN"/>
        </w:rPr>
        <w:t>3</w:t>
      </w:r>
      <w:r>
        <w:rPr>
          <w:rFonts w:hint="eastAsia" w:ascii="宋体" w:hAnsi="宋体" w:eastAsia="宋体" w:cs="宋体"/>
          <w:bCs/>
          <w:highlight w:val="none"/>
          <w:lang w:val="en-US" w:eastAsia="zh-CN"/>
        </w:rPr>
        <w:t>.2.1</w:t>
      </w:r>
      <w:r>
        <w:rPr>
          <w:rFonts w:hint="eastAsia" w:ascii="宋体" w:hAnsi="宋体" w:eastAsia="宋体" w:cs="宋体"/>
          <w:bCs/>
          <w:highlight w:val="none"/>
        </w:rPr>
        <w:t>施工标段要求投标人为</w:t>
      </w:r>
      <w:r>
        <w:rPr>
          <w:rFonts w:hint="eastAsia" w:ascii="宋体" w:hAnsi="宋体" w:eastAsia="宋体" w:cs="宋体"/>
          <w:bCs/>
          <w:highlight w:val="none"/>
          <w:lang w:eastAsia="zh-CN"/>
        </w:rPr>
        <w:t>（</w:t>
      </w:r>
      <w:r>
        <w:rPr>
          <w:rFonts w:hint="eastAsia" w:ascii="宋体" w:hAnsi="宋体" w:eastAsia="宋体" w:cs="宋体"/>
          <w:bCs/>
          <w:highlight w:val="none"/>
          <w:lang w:val="en-US" w:eastAsia="zh-CN"/>
        </w:rPr>
        <w:t>1</w:t>
      </w:r>
      <w:r>
        <w:rPr>
          <w:rFonts w:hint="eastAsia" w:ascii="宋体" w:hAnsi="宋体" w:eastAsia="宋体" w:cs="宋体"/>
          <w:bCs/>
          <w:highlight w:val="none"/>
          <w:lang w:eastAsia="zh-CN"/>
        </w:rPr>
        <w:t>）</w:t>
      </w:r>
      <w:r>
        <w:rPr>
          <w:rFonts w:hint="eastAsia" w:ascii="宋体" w:hAnsi="宋体" w:eastAsia="宋体" w:cs="宋体"/>
          <w:bCs/>
          <w:highlight w:val="none"/>
          <w:lang w:val="en-US" w:eastAsia="zh-CN"/>
        </w:rPr>
        <w:t>应具备</w:t>
      </w:r>
      <w:r>
        <w:rPr>
          <w:rFonts w:hint="eastAsia" w:ascii="宋体" w:hAnsi="宋体" w:eastAsia="宋体" w:cs="宋体"/>
          <w:bCs/>
          <w:highlight w:val="none"/>
        </w:rPr>
        <w:t>具备水利水电工程施工总承包叁级及以上资质的的独立法人</w:t>
      </w:r>
      <w:r>
        <w:rPr>
          <w:rFonts w:hint="eastAsia" w:ascii="宋体" w:hAnsi="宋体" w:eastAsia="宋体" w:cs="宋体"/>
          <w:bCs/>
          <w:highlight w:val="none"/>
        </w:rPr>
        <w:t>，资信良好，并具有类似工程施工经验</w:t>
      </w:r>
      <w:r>
        <w:rPr>
          <w:rFonts w:hint="eastAsia" w:ascii="宋体" w:hAnsi="宋体" w:eastAsia="宋体" w:cs="宋体"/>
          <w:bCs/>
          <w:highlight w:val="none"/>
          <w:lang w:eastAsia="zh-CN"/>
        </w:rPr>
        <w:t>；（</w:t>
      </w:r>
      <w:r>
        <w:rPr>
          <w:rFonts w:hint="eastAsia" w:ascii="宋体" w:hAnsi="宋体" w:eastAsia="宋体" w:cs="宋体"/>
          <w:bCs/>
          <w:highlight w:val="none"/>
          <w:lang w:val="en-US" w:eastAsia="zh-CN"/>
        </w:rPr>
        <w:t>2</w:t>
      </w:r>
      <w:r>
        <w:rPr>
          <w:rFonts w:hint="eastAsia" w:ascii="宋体" w:hAnsi="宋体" w:eastAsia="宋体" w:cs="宋体"/>
          <w:bCs/>
          <w:highlight w:val="none"/>
          <w:lang w:eastAsia="zh-CN"/>
        </w:rPr>
        <w:t>）</w:t>
      </w:r>
      <w:r>
        <w:rPr>
          <w:rFonts w:hint="eastAsia" w:ascii="宋体" w:hAnsi="宋体" w:eastAsia="宋体" w:cs="宋体"/>
          <w:bCs/>
          <w:highlight w:val="none"/>
          <w:lang w:eastAsia="zh-CN"/>
        </w:rPr>
        <w:t>拟派项目经理要求为水利水电专业注册二级及以上建造师</w:t>
      </w:r>
      <w:r>
        <w:rPr>
          <w:rFonts w:hint="eastAsia" w:ascii="宋体" w:hAnsi="宋体" w:eastAsia="宋体" w:cs="宋体"/>
          <w:bCs/>
          <w:highlight w:val="none"/>
          <w:lang w:eastAsia="zh-CN"/>
        </w:rPr>
        <w:t>，拟派项目经理已承担一个及以上在建工程施工项目的以及发生变更6个月内的，均不能参加本项目投标；（</w:t>
      </w:r>
      <w:r>
        <w:rPr>
          <w:rFonts w:hint="eastAsia" w:ascii="宋体" w:hAnsi="宋体" w:eastAsia="宋体" w:cs="宋体"/>
          <w:bCs/>
          <w:highlight w:val="none"/>
          <w:lang w:val="en-US" w:eastAsia="zh-CN"/>
        </w:rPr>
        <w:t>3</w:t>
      </w:r>
      <w:r>
        <w:rPr>
          <w:rFonts w:hint="eastAsia" w:ascii="宋体" w:hAnsi="宋体" w:eastAsia="宋体" w:cs="宋体"/>
          <w:bCs/>
          <w:highlight w:val="none"/>
          <w:lang w:eastAsia="zh-CN"/>
        </w:rPr>
        <w:t>）</w:t>
      </w:r>
      <w:r>
        <w:rPr>
          <w:rFonts w:hint="eastAsia" w:ascii="宋体" w:hAnsi="宋体" w:eastAsia="宋体" w:cs="宋体"/>
          <w:bCs/>
          <w:highlight w:val="none"/>
          <w:lang w:eastAsia="zh-CN"/>
        </w:rPr>
        <w:t>技术负责人具有（水利工程相关专业）中级（含）以上职称</w:t>
      </w:r>
      <w:r>
        <w:rPr>
          <w:rFonts w:hint="eastAsia" w:ascii="宋体" w:hAnsi="宋体" w:eastAsia="宋体" w:cs="宋体"/>
          <w:bCs/>
          <w:highlight w:val="none"/>
          <w:lang w:eastAsia="zh-CN"/>
        </w:rPr>
        <w:t>；（</w:t>
      </w:r>
      <w:r>
        <w:rPr>
          <w:rFonts w:hint="eastAsia" w:ascii="宋体" w:hAnsi="宋体" w:eastAsia="宋体" w:cs="宋体"/>
          <w:bCs/>
          <w:highlight w:val="none"/>
          <w:lang w:val="en-US" w:eastAsia="zh-CN"/>
        </w:rPr>
        <w:t>4</w:t>
      </w:r>
      <w:r>
        <w:rPr>
          <w:rFonts w:hint="eastAsia" w:ascii="宋体" w:hAnsi="宋体" w:eastAsia="宋体" w:cs="宋体"/>
          <w:bCs/>
          <w:highlight w:val="none"/>
          <w:lang w:eastAsia="zh-CN"/>
        </w:rPr>
        <w:t>）</w:t>
      </w:r>
      <w:r>
        <w:rPr>
          <w:rFonts w:hint="eastAsia" w:ascii="宋体" w:hAnsi="宋体" w:eastAsia="宋体" w:cs="宋体"/>
          <w:bCs/>
          <w:highlight w:val="none"/>
          <w:lang w:val="en-US" w:eastAsia="zh-CN"/>
        </w:rPr>
        <w:t>拟派专职安全生产管理人员需具有“安全生产考核合格证书”（C证）。</w:t>
      </w:r>
    </w:p>
    <w:p>
      <w:pPr>
        <w:pStyle w:val="2"/>
        <w:rPr>
          <w:rFonts w:hint="default"/>
          <w:highlight w:val="none"/>
          <w:lang w:val="en-US" w:eastAsia="zh-CN"/>
        </w:rPr>
      </w:pPr>
      <w:r>
        <w:rPr>
          <w:rFonts w:hint="eastAsia" w:ascii="宋体" w:hAnsi="宋体" w:eastAsia="宋体" w:cs="宋体"/>
          <w:bCs/>
          <w:highlight w:val="none"/>
          <w:lang w:val="en-US" w:eastAsia="zh-CN"/>
        </w:rPr>
        <w:t xml:space="preserve">   </w:t>
      </w:r>
      <w:r>
        <w:rPr>
          <w:rFonts w:hint="eastAsia" w:ascii="宋体" w:hAnsi="宋体" w:cs="宋体"/>
          <w:bCs/>
          <w:highlight w:val="none"/>
          <w:lang w:val="en-US" w:eastAsia="zh-CN"/>
        </w:rPr>
        <w:t>3</w:t>
      </w:r>
      <w:r>
        <w:rPr>
          <w:rFonts w:hint="eastAsia" w:ascii="宋体" w:hAnsi="宋体" w:eastAsia="宋体" w:cs="宋体"/>
          <w:bCs/>
          <w:highlight w:val="none"/>
          <w:lang w:val="en-US" w:eastAsia="zh-CN"/>
        </w:rPr>
        <w:t>.2.2监理标段要求投标人具备（1）应具备水利部颁发的水利工程施工监理丙级及以上资质的独立法人，在人员、设备、资金等方面具有承担本合同的能力。（2）总监理工程师应具有监理工程师执业资格，拟派总监理工程师已承担一个及以上在建水利工程监理项目的以及发生变更6个月内的，均不能参加本项目投标。</w:t>
      </w:r>
    </w:p>
    <w:p>
      <w:pPr>
        <w:pageBreakBefore w:val="0"/>
        <w:kinsoku/>
        <w:wordWrap/>
        <w:overflowPunct/>
        <w:topLinePunct w:val="0"/>
        <w:autoSpaceDE/>
        <w:autoSpaceDN/>
        <w:bidi w:val="0"/>
        <w:snapToGrid w:val="0"/>
        <w:spacing w:line="520" w:lineRule="exact"/>
        <w:ind w:firstLine="480" w:firstLineChars="200"/>
        <w:rPr>
          <w:rFonts w:hint="eastAsia" w:ascii="宋体" w:hAnsi="宋体" w:eastAsia="宋体" w:cs="宋体"/>
          <w:bCs/>
          <w:highlight w:val="none"/>
        </w:rPr>
      </w:pPr>
      <w:r>
        <w:rPr>
          <w:rFonts w:hint="eastAsia" w:cs="宋体"/>
          <w:bCs/>
          <w:highlight w:val="none"/>
          <w:lang w:val="en-US" w:eastAsia="zh-CN"/>
        </w:rPr>
        <w:t>3</w:t>
      </w:r>
      <w:r>
        <w:rPr>
          <w:rFonts w:hint="eastAsia" w:ascii="宋体" w:hAnsi="宋体" w:eastAsia="宋体" w:cs="宋体"/>
          <w:bCs/>
          <w:highlight w:val="none"/>
          <w:lang w:val="en-US" w:eastAsia="zh-CN"/>
        </w:rPr>
        <w:t>.3</w:t>
      </w:r>
      <w:r>
        <w:rPr>
          <w:rFonts w:hint="eastAsia" w:ascii="宋体" w:hAnsi="宋体" w:eastAsia="宋体" w:cs="宋体"/>
          <w:bCs/>
          <w:highlight w:val="none"/>
        </w:rPr>
        <w:t>与招标人存在利害关系可能影响招标公正性的法人、其他组织或者个人，不得参加投标。单位负责人为同一人或者存在控股、管理关系的不同单位，不得参加同一标段投标或者未划分标段的同一招标项目投标。</w:t>
      </w:r>
    </w:p>
    <w:p>
      <w:pPr>
        <w:pageBreakBefore w:val="0"/>
        <w:kinsoku/>
        <w:wordWrap/>
        <w:overflowPunct/>
        <w:topLinePunct w:val="0"/>
        <w:autoSpaceDE/>
        <w:autoSpaceDN/>
        <w:bidi w:val="0"/>
        <w:snapToGrid w:val="0"/>
        <w:spacing w:line="520" w:lineRule="exact"/>
        <w:ind w:firstLine="480" w:firstLineChars="200"/>
        <w:rPr>
          <w:rFonts w:hint="eastAsia" w:ascii="宋体" w:hAnsi="宋体" w:eastAsia="宋体" w:cs="宋体"/>
          <w:bCs/>
          <w:highlight w:val="none"/>
        </w:rPr>
      </w:pPr>
      <w:r>
        <w:rPr>
          <w:rFonts w:hint="eastAsia" w:cs="宋体"/>
          <w:bCs/>
          <w:highlight w:val="none"/>
          <w:lang w:val="en-US" w:eastAsia="zh-CN"/>
        </w:rPr>
        <w:t>3</w:t>
      </w:r>
      <w:r>
        <w:rPr>
          <w:rFonts w:hint="eastAsia" w:ascii="宋体" w:hAnsi="宋体" w:eastAsia="宋体" w:cs="宋体"/>
          <w:bCs/>
          <w:highlight w:val="none"/>
        </w:rPr>
        <w:t>.</w:t>
      </w:r>
      <w:r>
        <w:rPr>
          <w:rFonts w:hint="eastAsia" w:ascii="宋体" w:hAnsi="宋体" w:eastAsia="宋体" w:cs="宋体"/>
          <w:bCs/>
          <w:highlight w:val="none"/>
          <w:lang w:val="en-US" w:eastAsia="zh-CN"/>
        </w:rPr>
        <w:t>4</w:t>
      </w:r>
      <w:r>
        <w:rPr>
          <w:rFonts w:hint="eastAsia" w:ascii="宋体" w:hAnsi="宋体" w:eastAsia="宋体" w:cs="宋体"/>
          <w:bCs/>
          <w:highlight w:val="none"/>
        </w:rPr>
        <w:t xml:space="preserve">未经山东省水利建设市场信用信息平台公布信用信息的企业，不得参加本项目投标。凡由水利部或工程所在地省级水行政主管部门在其信用信息平台公布禁止进入水利建设市场或列入黑名单的，或被有关部门实行联合惩戒的，不得参加本项目投标。 </w:t>
      </w:r>
    </w:p>
    <w:p>
      <w:pPr>
        <w:pageBreakBefore w:val="0"/>
        <w:kinsoku/>
        <w:wordWrap/>
        <w:overflowPunct/>
        <w:topLinePunct w:val="0"/>
        <w:autoSpaceDE/>
        <w:autoSpaceDN/>
        <w:bidi w:val="0"/>
        <w:snapToGrid w:val="0"/>
        <w:spacing w:line="520" w:lineRule="exact"/>
        <w:ind w:firstLine="480" w:firstLineChars="200"/>
        <w:rPr>
          <w:rFonts w:hint="eastAsia" w:ascii="宋体" w:hAnsi="宋体" w:eastAsia="宋体" w:cs="宋体"/>
          <w:bCs/>
          <w:highlight w:val="none"/>
        </w:rPr>
      </w:pPr>
      <w:r>
        <w:rPr>
          <w:rFonts w:hint="eastAsia" w:cs="宋体"/>
          <w:bCs/>
          <w:highlight w:val="none"/>
          <w:lang w:val="en-US" w:eastAsia="zh-CN"/>
        </w:rPr>
        <w:t>3</w:t>
      </w:r>
      <w:r>
        <w:rPr>
          <w:rFonts w:hint="eastAsia" w:ascii="宋体" w:hAnsi="宋体" w:eastAsia="宋体" w:cs="宋体"/>
          <w:bCs/>
          <w:highlight w:val="none"/>
        </w:rPr>
        <w:t>.</w:t>
      </w:r>
      <w:r>
        <w:rPr>
          <w:rFonts w:hint="eastAsia" w:ascii="宋体" w:hAnsi="宋体" w:eastAsia="宋体" w:cs="宋体"/>
          <w:bCs/>
          <w:highlight w:val="none"/>
          <w:lang w:val="en-US" w:eastAsia="zh-CN"/>
        </w:rPr>
        <w:t>5</w:t>
      </w:r>
      <w:r>
        <w:rPr>
          <w:rFonts w:hint="eastAsia" w:ascii="宋体" w:hAnsi="宋体" w:eastAsia="宋体" w:cs="宋体"/>
          <w:bCs/>
          <w:highlight w:val="none"/>
        </w:rPr>
        <w:t>本次招标采用资格后审方式。</w:t>
      </w:r>
    </w:p>
    <w:p>
      <w:pPr>
        <w:pStyle w:val="20"/>
        <w:pageBreakBefore w:val="0"/>
        <w:numPr>
          <w:numId w:val="0"/>
        </w:numPr>
        <w:kinsoku/>
        <w:wordWrap/>
        <w:overflowPunct/>
        <w:topLinePunct w:val="0"/>
        <w:autoSpaceDE/>
        <w:autoSpaceDN/>
        <w:bidi w:val="0"/>
        <w:spacing w:line="520" w:lineRule="exact"/>
        <w:ind w:leftChars="0" w:firstLine="480" w:firstLineChars="200"/>
        <w:rPr>
          <w:rFonts w:hint="eastAsia" w:ascii="宋体" w:hAnsi="宋体" w:eastAsia="宋体" w:cs="宋体"/>
          <w:bCs/>
          <w:sz w:val="24"/>
          <w:szCs w:val="24"/>
          <w:highlight w:val="none"/>
          <w:lang w:val="en-US" w:eastAsia="zh-CN" w:bidi="ar-SA"/>
        </w:rPr>
      </w:pPr>
      <w:r>
        <w:rPr>
          <w:rFonts w:hint="eastAsia" w:ascii="宋体" w:hAnsi="宋体" w:cs="宋体"/>
          <w:bCs/>
          <w:sz w:val="24"/>
          <w:szCs w:val="24"/>
          <w:highlight w:val="none"/>
          <w:lang w:val="en-US" w:eastAsia="zh-CN" w:bidi="ar-SA"/>
        </w:rPr>
        <w:t>3</w:t>
      </w:r>
      <w:r>
        <w:rPr>
          <w:rFonts w:hint="eastAsia" w:ascii="宋体" w:hAnsi="宋体" w:eastAsia="宋体" w:cs="宋体"/>
          <w:bCs/>
          <w:sz w:val="24"/>
          <w:szCs w:val="24"/>
          <w:highlight w:val="none"/>
          <w:lang w:val="en-US" w:eastAsia="zh-CN" w:bidi="ar-SA"/>
        </w:rPr>
        <w:t>.6本项目不接受联合体投标。</w:t>
      </w:r>
    </w:p>
    <w:p>
      <w:pPr>
        <w:pageBreakBefore w:val="0"/>
        <w:numPr>
          <w:ilvl w:val="0"/>
          <w:numId w:val="0"/>
        </w:numPr>
        <w:kinsoku/>
        <w:wordWrap/>
        <w:overflowPunct/>
        <w:topLinePunct w:val="0"/>
        <w:autoSpaceDE/>
        <w:autoSpaceDN/>
        <w:bidi w:val="0"/>
        <w:snapToGrid w:val="0"/>
        <w:spacing w:line="520" w:lineRule="exact"/>
        <w:ind w:firstLine="241" w:firstLineChars="100"/>
        <w:rPr>
          <w:rFonts w:hint="eastAsia" w:cs="宋体"/>
          <w:b/>
          <w:bCs/>
          <w:highlight w:val="none"/>
          <w:lang w:val="en-US" w:eastAsia="zh-CN"/>
        </w:rPr>
      </w:pPr>
      <w:r>
        <w:rPr>
          <w:rFonts w:hint="eastAsia" w:cs="宋体"/>
          <w:b/>
          <w:bCs/>
          <w:highlight w:val="none"/>
          <w:lang w:val="en-US" w:eastAsia="zh-CN"/>
        </w:rPr>
        <w:t>四、资格审查材料：</w:t>
      </w:r>
    </w:p>
    <w:p>
      <w:pPr>
        <w:pStyle w:val="20"/>
        <w:pageBreakBefore w:val="0"/>
        <w:numPr>
          <w:numId w:val="0"/>
        </w:numPr>
        <w:kinsoku/>
        <w:wordWrap/>
        <w:overflowPunct/>
        <w:topLinePunct w:val="0"/>
        <w:autoSpaceDE/>
        <w:autoSpaceDN/>
        <w:bidi w:val="0"/>
        <w:spacing w:line="520" w:lineRule="exact"/>
        <w:ind w:leftChars="100" w:firstLine="240" w:firstLineChars="100"/>
        <w:rPr>
          <w:rFonts w:hint="eastAsia" w:ascii="宋体" w:hAnsi="宋体" w:eastAsia="宋体" w:cs="宋体"/>
          <w:bCs/>
          <w:kern w:val="0"/>
          <w:sz w:val="24"/>
          <w:szCs w:val="24"/>
          <w:highlight w:val="none"/>
          <w:lang w:val="en-US" w:eastAsia="zh-CN" w:bidi="ar-SA"/>
        </w:rPr>
      </w:pPr>
      <w:r>
        <w:rPr>
          <w:rFonts w:hint="eastAsia" w:ascii="宋体" w:hAnsi="宋体" w:eastAsia="宋体" w:cs="宋体"/>
          <w:bCs/>
          <w:kern w:val="0"/>
          <w:sz w:val="24"/>
          <w:szCs w:val="24"/>
          <w:highlight w:val="none"/>
          <w:lang w:val="en-US" w:eastAsia="zh-CN" w:bidi="ar-SA"/>
        </w:rPr>
        <w:t>施工标段内容:</w:t>
      </w:r>
    </w:p>
    <w:p>
      <w:pPr>
        <w:pStyle w:val="20"/>
        <w:pageBreakBefore w:val="0"/>
        <w:numPr>
          <w:ilvl w:val="0"/>
          <w:numId w:val="0"/>
        </w:numPr>
        <w:kinsoku/>
        <w:wordWrap/>
        <w:overflowPunct/>
        <w:topLinePunct w:val="0"/>
        <w:autoSpaceDE/>
        <w:autoSpaceDN/>
        <w:bidi w:val="0"/>
        <w:spacing w:line="520" w:lineRule="exact"/>
        <w:ind w:left="0" w:leftChars="0" w:firstLine="0" w:firstLineChars="0"/>
        <w:rPr>
          <w:rFonts w:hint="eastAsia" w:ascii="宋体" w:hAnsi="宋体" w:eastAsia="宋体" w:cs="宋体"/>
          <w:bCs/>
          <w:kern w:val="0"/>
          <w:sz w:val="24"/>
          <w:szCs w:val="24"/>
          <w:highlight w:val="none"/>
          <w:lang w:val="en-US" w:eastAsia="zh-CN" w:bidi="ar-SA"/>
        </w:rPr>
      </w:pPr>
      <w:r>
        <w:rPr>
          <w:rFonts w:hint="eastAsia" w:ascii="宋体" w:hAnsi="宋体" w:eastAsia="宋体" w:cs="宋体"/>
          <w:bCs/>
          <w:kern w:val="0"/>
          <w:sz w:val="24"/>
          <w:szCs w:val="24"/>
          <w:highlight w:val="none"/>
          <w:lang w:val="en-US" w:eastAsia="zh-CN" w:bidi="ar-SA"/>
        </w:rPr>
        <w:t xml:space="preserve">   </w:t>
      </w:r>
      <w:r>
        <w:rPr>
          <w:rFonts w:hint="eastAsia" w:ascii="宋体" w:hAnsi="宋体" w:cs="宋体"/>
          <w:bCs/>
          <w:kern w:val="0"/>
          <w:sz w:val="24"/>
          <w:szCs w:val="24"/>
          <w:highlight w:val="none"/>
          <w:lang w:val="en-US" w:eastAsia="zh-CN" w:bidi="ar-SA"/>
        </w:rPr>
        <w:t xml:space="preserve"> </w:t>
      </w:r>
      <w:r>
        <w:rPr>
          <w:rFonts w:hint="eastAsia" w:ascii="宋体" w:hAnsi="宋体" w:eastAsia="宋体" w:cs="宋体"/>
          <w:bCs/>
          <w:kern w:val="0"/>
          <w:sz w:val="24"/>
          <w:szCs w:val="24"/>
          <w:highlight w:val="none"/>
          <w:lang w:val="en-US" w:eastAsia="zh-CN" w:bidi="ar-SA"/>
        </w:rPr>
        <w:t>包括临沂市费县台子沟水库灌浆截渗工程施工项目</w:t>
      </w:r>
    </w:p>
    <w:p>
      <w:pPr>
        <w:pStyle w:val="20"/>
        <w:pageBreakBefore w:val="0"/>
        <w:numPr>
          <w:ilvl w:val="0"/>
          <w:numId w:val="0"/>
        </w:numPr>
        <w:kinsoku/>
        <w:wordWrap/>
        <w:overflowPunct/>
        <w:topLinePunct w:val="0"/>
        <w:autoSpaceDE/>
        <w:autoSpaceDN/>
        <w:bidi w:val="0"/>
        <w:spacing w:line="520" w:lineRule="exact"/>
        <w:ind w:left="0" w:leftChars="0" w:firstLine="480" w:firstLineChars="200"/>
        <w:rPr>
          <w:rFonts w:hint="eastAsia" w:ascii="宋体" w:hAnsi="宋体" w:eastAsia="宋体" w:cs="宋体"/>
          <w:bCs/>
          <w:kern w:val="0"/>
          <w:sz w:val="24"/>
          <w:szCs w:val="24"/>
          <w:highlight w:val="none"/>
          <w:lang w:val="en-US" w:eastAsia="zh-CN" w:bidi="ar-SA"/>
        </w:rPr>
      </w:pPr>
      <w:r>
        <w:rPr>
          <w:rFonts w:hint="eastAsia" w:ascii="宋体" w:hAnsi="宋体" w:eastAsia="宋体" w:cs="宋体"/>
          <w:bCs/>
          <w:kern w:val="0"/>
          <w:sz w:val="24"/>
          <w:szCs w:val="24"/>
          <w:highlight w:val="none"/>
          <w:lang w:val="en-US" w:eastAsia="zh-CN" w:bidi="ar-SA"/>
        </w:rPr>
        <w:t>资格审查项:</w:t>
      </w:r>
    </w:p>
    <w:p>
      <w:pPr>
        <w:pStyle w:val="20"/>
        <w:pageBreakBefore w:val="0"/>
        <w:numPr>
          <w:ilvl w:val="0"/>
          <w:numId w:val="0"/>
        </w:numPr>
        <w:kinsoku/>
        <w:wordWrap/>
        <w:overflowPunct/>
        <w:topLinePunct w:val="0"/>
        <w:autoSpaceDE/>
        <w:autoSpaceDN/>
        <w:bidi w:val="0"/>
        <w:spacing w:line="520" w:lineRule="exact"/>
        <w:ind w:left="0" w:leftChars="0" w:firstLine="0" w:firstLineChars="0"/>
        <w:rPr>
          <w:rFonts w:hint="eastAsia" w:ascii="宋体" w:hAnsi="宋体" w:eastAsia="宋体" w:cs="宋体"/>
          <w:bCs/>
          <w:kern w:val="0"/>
          <w:sz w:val="24"/>
          <w:szCs w:val="24"/>
          <w:highlight w:val="none"/>
          <w:lang w:val="en-US" w:eastAsia="zh-CN" w:bidi="ar-SA"/>
        </w:rPr>
      </w:pPr>
      <w:r>
        <w:rPr>
          <w:rFonts w:hint="eastAsia" w:ascii="宋体" w:hAnsi="宋体" w:eastAsia="宋体" w:cs="宋体"/>
          <w:bCs/>
          <w:kern w:val="0"/>
          <w:sz w:val="24"/>
          <w:szCs w:val="24"/>
          <w:highlight w:val="none"/>
          <w:lang w:val="en-US" w:eastAsia="zh-CN" w:bidi="ar-SA"/>
        </w:rPr>
        <w:t xml:space="preserve">    1.资质证书 2.营业执照 3.企业安全生产许可证 4.法人代表授权委托书 5.拟任项目经理社保缴纳证明材料（退休返聘人员的人身意外险） 6.授权代表是否为固定投标人员 7.项目经理的注册建造师注册证 8.水行政主管部门颁发的项目经理的“项目负责人安全生产考核合格证书（B证）” 9.专职安全生产管理人员的“安全生产考核合格证书”（C证） 10.固定投标人社保缴纳证明材料 11.承诺落实农民工工资保证金、实名制管理、工资专用账户、分包企业委托施工总承包企业通过银行代发农民工工资等制度（400万以上项目承诺将本项目纳入山东省农民工工资支付监管平台管理），按月足额发放农民工工资，落实欠薪清偿责任。</w:t>
      </w:r>
    </w:p>
    <w:p>
      <w:pPr>
        <w:bidi w:val="0"/>
        <w:ind w:firstLine="480" w:firstLineChars="200"/>
        <w:rPr>
          <w:rFonts w:hint="eastAsia" w:eastAsia="宋体"/>
          <w:highlight w:val="none"/>
          <w:lang w:val="en-US" w:eastAsia="zh-CN"/>
        </w:rPr>
      </w:pPr>
      <w:r>
        <w:rPr>
          <w:rFonts w:hint="eastAsia"/>
          <w:highlight w:val="none"/>
          <w:lang w:eastAsia="zh-CN"/>
        </w:rPr>
        <w:t>监理标</w:t>
      </w:r>
      <w:r>
        <w:rPr>
          <w:rFonts w:hint="eastAsia"/>
          <w:highlight w:val="none"/>
          <w:lang w:val="en-US" w:eastAsia="zh-CN"/>
        </w:rPr>
        <w:t>段</w:t>
      </w:r>
      <w:r>
        <w:rPr>
          <w:rFonts w:hint="eastAsia"/>
          <w:highlight w:val="none"/>
        </w:rPr>
        <w:t>内容</w:t>
      </w:r>
      <w:r>
        <w:rPr>
          <w:rFonts w:hint="eastAsia"/>
          <w:highlight w:val="none"/>
          <w:lang w:eastAsia="zh-CN"/>
        </w:rPr>
        <w:t>：</w:t>
      </w:r>
    </w:p>
    <w:p>
      <w:pPr>
        <w:bidi w:val="0"/>
        <w:ind w:left="480" w:leftChars="200" w:firstLine="0" w:firstLineChars="0"/>
        <w:rPr>
          <w:rFonts w:hint="eastAsia"/>
          <w:highlight w:val="none"/>
        </w:rPr>
      </w:pPr>
      <w:r>
        <w:rPr>
          <w:rFonts w:hint="eastAsia"/>
          <w:highlight w:val="none"/>
        </w:rPr>
        <w:t>对</w:t>
      </w:r>
      <w:r>
        <w:rPr>
          <w:rFonts w:hint="eastAsia"/>
          <w:highlight w:val="none"/>
          <w:lang w:val="en-US" w:eastAsia="zh-CN"/>
        </w:rPr>
        <w:t>临沂市费县台子沟水库灌浆截渗工程施工项目</w:t>
      </w:r>
      <w:r>
        <w:rPr>
          <w:rFonts w:hint="eastAsia"/>
          <w:highlight w:val="none"/>
        </w:rPr>
        <w:t>全面监理</w:t>
      </w:r>
      <w:r>
        <w:rPr>
          <w:rFonts w:hint="eastAsia"/>
          <w:highlight w:val="none"/>
          <w:lang w:val="en-US" w:eastAsia="zh-CN"/>
        </w:rPr>
        <w:t>。</w:t>
      </w:r>
      <w:r>
        <w:rPr>
          <w:rFonts w:hint="eastAsia"/>
          <w:highlight w:val="none"/>
        </w:rPr>
        <w:br w:type="textWrapping"/>
      </w:r>
      <w:r>
        <w:rPr>
          <w:rFonts w:hint="eastAsia"/>
          <w:highlight w:val="none"/>
        </w:rPr>
        <w:t>资格审查项:</w:t>
      </w:r>
    </w:p>
    <w:p>
      <w:pPr>
        <w:bidi w:val="0"/>
        <w:rPr>
          <w:rFonts w:hint="eastAsia" w:ascii="宋体" w:hAnsi="宋体" w:eastAsia="宋体" w:cs="宋体"/>
          <w:bCs/>
          <w:kern w:val="0"/>
          <w:sz w:val="24"/>
          <w:szCs w:val="24"/>
          <w:highlight w:val="none"/>
          <w:lang w:val="en-US" w:eastAsia="zh-CN" w:bidi="ar-SA"/>
        </w:rPr>
      </w:pPr>
      <w:r>
        <w:rPr>
          <w:rFonts w:hint="eastAsia"/>
          <w:highlight w:val="none"/>
          <w:lang w:val="en-US" w:eastAsia="zh-CN"/>
        </w:rPr>
        <w:t>（1）资质证书；（2）营业执照；（3）法人代表授权委托书；（4）拟任总监理工程师社保缴纳证明材料（退休返聘人员的人身意外险）；（5）授权代表是否为固定投标人员；（6）项目总监的监理工程师资格证书；（7）固定投标人近一个月社保缴纳证明材料；（8）总监理工程师的工程类高级专业技术职称证书；（9）投标保证金凭证。</w:t>
      </w:r>
    </w:p>
    <w:p>
      <w:pPr>
        <w:pageBreakBefore w:val="0"/>
        <w:kinsoku/>
        <w:wordWrap/>
        <w:overflowPunct/>
        <w:topLinePunct w:val="0"/>
        <w:autoSpaceDE/>
        <w:autoSpaceDN/>
        <w:bidi w:val="0"/>
        <w:snapToGrid w:val="0"/>
        <w:spacing w:line="520" w:lineRule="exact"/>
        <w:ind w:firstLine="482" w:firstLineChars="200"/>
        <w:rPr>
          <w:rFonts w:hint="eastAsia" w:ascii="宋体" w:hAnsi="宋体" w:eastAsia="宋体" w:cs="宋体"/>
          <w:b/>
          <w:bCs/>
          <w:highlight w:val="none"/>
        </w:rPr>
      </w:pPr>
      <w:r>
        <w:rPr>
          <w:rFonts w:hint="eastAsia" w:cs="宋体"/>
          <w:b/>
          <w:bCs/>
          <w:highlight w:val="none"/>
          <w:lang w:val="en-US" w:eastAsia="zh-CN"/>
        </w:rPr>
        <w:t>注：（1）</w:t>
      </w:r>
      <w:r>
        <w:rPr>
          <w:rFonts w:hint="eastAsia" w:ascii="宋体" w:hAnsi="宋体" w:eastAsia="宋体" w:cs="宋体"/>
          <w:b/>
          <w:bCs/>
          <w:highlight w:val="none"/>
        </w:rPr>
        <w:t>符合本公告资格要求的投标申请人需在报名截止前通过“临沂市公共资源交易网”“企业用户登录”“建设工程项目”办理招标投标监管系统企业诚信库认证，并登陆临沂市公共资源交易网（http://ggzyjy.linyi.gov.cn/TPFront/）下载招标文件。</w:t>
      </w:r>
    </w:p>
    <w:p>
      <w:pPr>
        <w:pageBreakBefore w:val="0"/>
        <w:kinsoku/>
        <w:wordWrap/>
        <w:overflowPunct/>
        <w:topLinePunct w:val="0"/>
        <w:autoSpaceDE/>
        <w:autoSpaceDN/>
        <w:bidi w:val="0"/>
        <w:snapToGrid w:val="0"/>
        <w:spacing w:line="520" w:lineRule="exact"/>
        <w:ind w:firstLine="723" w:firstLineChars="300"/>
        <w:rPr>
          <w:rFonts w:hint="eastAsia" w:ascii="宋体" w:hAnsi="宋体" w:eastAsia="宋体" w:cs="宋体"/>
          <w:b/>
          <w:bCs/>
          <w:highlight w:val="none"/>
        </w:rPr>
      </w:pPr>
      <w:r>
        <w:rPr>
          <w:rFonts w:hint="eastAsia" w:ascii="宋体" w:hAnsi="宋体" w:eastAsia="宋体" w:cs="宋体"/>
          <w:b/>
          <w:bCs/>
          <w:highlight w:val="none"/>
        </w:rPr>
        <w:t>（</w:t>
      </w:r>
      <w:r>
        <w:rPr>
          <w:rFonts w:hint="eastAsia" w:cs="宋体"/>
          <w:b/>
          <w:bCs/>
          <w:highlight w:val="none"/>
          <w:lang w:val="en-US" w:eastAsia="zh-CN"/>
        </w:rPr>
        <w:t>2</w:t>
      </w:r>
      <w:r>
        <w:rPr>
          <w:rFonts w:hint="eastAsia" w:ascii="宋体" w:hAnsi="宋体" w:eastAsia="宋体" w:cs="宋体"/>
          <w:b/>
          <w:bCs/>
          <w:highlight w:val="none"/>
        </w:rPr>
        <w:t>）本项目资格审查方式为资格后审。投标人资格以开标后资格审查结果为准，具体资格审查资料详见招标文件。</w:t>
      </w:r>
    </w:p>
    <w:p>
      <w:pPr>
        <w:pageBreakBefore w:val="0"/>
        <w:numPr>
          <w:ilvl w:val="0"/>
          <w:numId w:val="0"/>
        </w:numPr>
        <w:kinsoku/>
        <w:wordWrap/>
        <w:overflowPunct/>
        <w:topLinePunct w:val="0"/>
        <w:autoSpaceDE/>
        <w:autoSpaceDN/>
        <w:bidi w:val="0"/>
        <w:snapToGrid w:val="0"/>
        <w:spacing w:line="520" w:lineRule="exact"/>
        <w:ind w:firstLine="241" w:firstLineChars="100"/>
        <w:rPr>
          <w:rFonts w:hint="default" w:cs="宋体"/>
          <w:b/>
          <w:bCs/>
          <w:highlight w:val="none"/>
          <w:lang w:val="en-US" w:eastAsia="zh-CN"/>
        </w:rPr>
      </w:pPr>
      <w:r>
        <w:rPr>
          <w:rFonts w:hint="eastAsia" w:cs="宋体"/>
          <w:b/>
          <w:bCs/>
          <w:highlight w:val="none"/>
          <w:lang w:val="en-US" w:eastAsia="zh-CN"/>
        </w:rPr>
        <w:t>五、招标文件的获取方式及要求</w:t>
      </w:r>
    </w:p>
    <w:p>
      <w:pPr>
        <w:pStyle w:val="18"/>
        <w:keepNext w:val="0"/>
        <w:keepLines w:val="0"/>
        <w:widowControl/>
        <w:suppressLineNumbers w:val="0"/>
        <w:shd w:val="clear" w:fill="FFFFFF"/>
        <w:wordWrap w:val="0"/>
        <w:spacing w:before="0" w:beforeAutospacing="0" w:after="0" w:afterAutospacing="0" w:line="500" w:lineRule="atLeast"/>
        <w:ind w:left="0" w:right="0"/>
        <w:jc w:val="left"/>
        <w:rPr>
          <w:rFonts w:hint="eastAsia" w:ascii="宋体" w:hAnsi="宋体" w:eastAsia="宋体" w:cs="宋体"/>
          <w:sz w:val="24"/>
          <w:szCs w:val="24"/>
          <w:highlight w:val="none"/>
        </w:rPr>
      </w:pPr>
      <w:r>
        <w:rPr>
          <w:rFonts w:hint="eastAsia" w:ascii="宋体" w:hAnsi="宋体" w:eastAsia="宋体" w:cs="宋体"/>
          <w:color w:val="333333"/>
          <w:sz w:val="24"/>
          <w:szCs w:val="24"/>
          <w:highlight w:val="none"/>
          <w:shd w:val="clear" w:fill="FFFFFF"/>
        </w:rPr>
        <w:t>　</w:t>
      </w:r>
      <w:r>
        <w:rPr>
          <w:rFonts w:hint="eastAsia" w:ascii="宋体" w:hAnsi="宋体" w:eastAsia="宋体" w:cs="宋体"/>
          <w:color w:val="333333"/>
          <w:sz w:val="24"/>
          <w:szCs w:val="24"/>
          <w:highlight w:val="none"/>
          <w:shd w:val="clear" w:fill="FFFFFF"/>
          <w:lang w:val="en-US" w:eastAsia="zh-CN"/>
        </w:rPr>
        <w:t xml:space="preserve">    </w:t>
      </w:r>
      <w:r>
        <w:rPr>
          <w:rFonts w:hint="eastAsia" w:ascii="宋体" w:hAnsi="宋体" w:eastAsia="宋体" w:cs="宋体"/>
          <w:color w:val="333333"/>
          <w:sz w:val="24"/>
          <w:szCs w:val="24"/>
          <w:highlight w:val="none"/>
          <w:shd w:val="clear" w:fill="FFFFFF"/>
        </w:rPr>
        <w:t>5.1获取方式：投标申请人需在获取招标文件截止时间前通过临沂市公共资源交易网电子招投标交易平台企业诚信库认证、办理CA实名认证证书，登录临沂市公共资源交易网电子招投标交易平台，完成本项目网上投标信息填写并进行招标文件领取下载；过时将无法下载招标文件，均视为自动放弃投标资格。（注：潜在投标申请人应自行关注交易平台，因自身贻误行为导致未获取招标文件及补充。（答疑、澄清）文件或投标失败的，责任自负）</w:t>
      </w:r>
    </w:p>
    <w:p>
      <w:pPr>
        <w:pStyle w:val="18"/>
        <w:keepNext w:val="0"/>
        <w:keepLines w:val="0"/>
        <w:widowControl/>
        <w:suppressLineNumbers w:val="0"/>
        <w:wordWrap w:val="0"/>
        <w:spacing w:before="100" w:beforeAutospacing="0" w:after="100" w:afterAutospacing="0" w:line="360" w:lineRule="auto"/>
        <w:ind w:left="0" w:right="0"/>
        <w:jc w:val="left"/>
        <w:rPr>
          <w:rFonts w:hint="eastAsia" w:ascii="宋体" w:hAnsi="宋体" w:eastAsia="宋体" w:cs="宋体"/>
          <w:sz w:val="24"/>
          <w:szCs w:val="24"/>
          <w:highlight w:val="none"/>
        </w:rPr>
      </w:pPr>
      <w:r>
        <w:rPr>
          <w:rFonts w:hint="eastAsia" w:ascii="宋体" w:hAnsi="宋体" w:eastAsia="宋体" w:cs="宋体"/>
          <w:color w:val="333333"/>
          <w:sz w:val="24"/>
          <w:szCs w:val="24"/>
          <w:highlight w:val="none"/>
        </w:rPr>
        <w:t>　　</w:t>
      </w:r>
      <w:r>
        <w:rPr>
          <w:rFonts w:hint="eastAsia" w:ascii="宋体" w:hAnsi="宋体" w:eastAsia="宋体" w:cs="宋体"/>
          <w:color w:val="333333"/>
          <w:sz w:val="24"/>
          <w:szCs w:val="24"/>
          <w:highlight w:val="none"/>
          <w:lang w:val="en-US" w:eastAsia="zh-CN"/>
        </w:rPr>
        <w:t xml:space="preserve"> </w:t>
      </w:r>
      <w:r>
        <w:rPr>
          <w:rFonts w:hint="eastAsia" w:ascii="宋体" w:hAnsi="宋体" w:eastAsia="宋体" w:cs="宋体"/>
          <w:color w:val="333333"/>
          <w:sz w:val="24"/>
          <w:szCs w:val="24"/>
          <w:highlight w:val="none"/>
        </w:rPr>
        <w:t>5.2要求：</w:t>
      </w:r>
      <w:r>
        <w:rPr>
          <w:rFonts w:hint="eastAsia" w:ascii="宋体" w:hAnsi="宋体" w:eastAsia="宋体" w:cs="宋体"/>
          <w:b/>
          <w:bCs/>
          <w:color w:val="333333"/>
          <w:sz w:val="24"/>
          <w:szCs w:val="24"/>
          <w:highlight w:val="none"/>
        </w:rPr>
        <w:t>本项目采用“不见面开标”系统开标，</w:t>
      </w:r>
      <w:r>
        <w:rPr>
          <w:rFonts w:hint="eastAsia" w:ascii="宋体" w:hAnsi="宋体" w:eastAsia="宋体" w:cs="宋体"/>
          <w:color w:val="333333"/>
          <w:sz w:val="24"/>
          <w:szCs w:val="24"/>
          <w:highlight w:val="none"/>
        </w:rPr>
        <w:t>各投标企业的法定代表人或授权委托代理人不需到开标现场参与本项目开标活动。但委托代理人必须是投标企业本单位职工，并且能够熟练的操作新点系统，因业务不熟悉而导致的一切后果由投标企业自行承担。本项目要求提供的营业执照和身份证可以使用电子证件。</w:t>
      </w:r>
    </w:p>
    <w:p>
      <w:pPr>
        <w:pStyle w:val="18"/>
        <w:keepNext w:val="0"/>
        <w:keepLines w:val="0"/>
        <w:widowControl/>
        <w:suppressLineNumbers w:val="0"/>
        <w:shd w:val="clear" w:fill="FFFFFF"/>
        <w:wordWrap w:val="0"/>
        <w:spacing w:before="0" w:beforeAutospacing="0" w:after="0" w:afterAutospacing="0" w:line="500" w:lineRule="atLeast"/>
        <w:ind w:left="0" w:right="0"/>
        <w:jc w:val="left"/>
        <w:rPr>
          <w:rFonts w:hint="eastAsia" w:ascii="宋体" w:hAnsi="宋体" w:eastAsia="宋体" w:cs="宋体"/>
          <w:sz w:val="24"/>
          <w:szCs w:val="24"/>
          <w:highlight w:val="none"/>
        </w:rPr>
      </w:pPr>
      <w:r>
        <w:rPr>
          <w:rFonts w:hint="eastAsia" w:ascii="宋体" w:hAnsi="宋体" w:eastAsia="宋体" w:cs="宋体"/>
          <w:b/>
          <w:bCs/>
          <w:color w:val="333333"/>
          <w:sz w:val="24"/>
          <w:szCs w:val="24"/>
          <w:highlight w:val="none"/>
          <w:shd w:val="clear" w:fill="FFFFFF"/>
        </w:rPr>
        <w:t>六、招标文件的获取及递交日程安排</w:t>
      </w:r>
    </w:p>
    <w:p>
      <w:pPr>
        <w:pStyle w:val="18"/>
        <w:keepNext w:val="0"/>
        <w:keepLines w:val="0"/>
        <w:widowControl/>
        <w:suppressLineNumbers w:val="0"/>
        <w:wordWrap w:val="0"/>
        <w:spacing w:before="100" w:beforeAutospacing="0" w:after="100" w:afterAutospacing="0" w:line="360" w:lineRule="auto"/>
        <w:ind w:left="0" w:right="0" w:firstLine="480"/>
        <w:jc w:val="left"/>
        <w:rPr>
          <w:rFonts w:hint="eastAsia" w:ascii="宋体" w:hAnsi="宋体" w:eastAsia="宋体" w:cs="宋体"/>
          <w:sz w:val="24"/>
          <w:szCs w:val="24"/>
          <w:highlight w:val="none"/>
        </w:rPr>
      </w:pPr>
      <w:r>
        <w:rPr>
          <w:rFonts w:hint="eastAsia" w:ascii="宋体" w:hAnsi="宋体" w:eastAsia="宋体" w:cs="宋体"/>
          <w:color w:val="333333"/>
          <w:sz w:val="24"/>
          <w:szCs w:val="24"/>
          <w:highlight w:val="none"/>
        </w:rPr>
        <w:t>6.1获取招标文件时间：</w:t>
      </w:r>
      <w:r>
        <w:rPr>
          <w:rFonts w:hint="default" w:ascii="Times New Roman" w:hAnsi="Times New Roman" w:eastAsia="宋体" w:cs="Times New Roman"/>
          <w:color w:val="333333"/>
          <w:sz w:val="24"/>
          <w:szCs w:val="24"/>
          <w:highlight w:val="none"/>
          <w:u w:val="single"/>
        </w:rPr>
        <w:t>2021</w:t>
      </w:r>
      <w:r>
        <w:rPr>
          <w:rFonts w:hint="eastAsia" w:ascii="宋体" w:hAnsi="宋体" w:eastAsia="宋体" w:cs="宋体"/>
          <w:color w:val="333333"/>
          <w:sz w:val="24"/>
          <w:szCs w:val="24"/>
          <w:highlight w:val="none"/>
        </w:rPr>
        <w:t>年</w:t>
      </w:r>
      <w:r>
        <w:rPr>
          <w:rFonts w:hint="eastAsia" w:ascii="宋体" w:hAnsi="宋体" w:eastAsia="宋体" w:cs="宋体"/>
          <w:color w:val="333333"/>
          <w:sz w:val="24"/>
          <w:szCs w:val="24"/>
          <w:highlight w:val="none"/>
          <w:u w:val="single"/>
          <w:lang w:val="en-US" w:eastAsia="zh-CN"/>
        </w:rPr>
        <w:t>10</w:t>
      </w:r>
      <w:r>
        <w:rPr>
          <w:rFonts w:hint="eastAsia" w:ascii="宋体" w:hAnsi="宋体" w:eastAsia="宋体" w:cs="宋体"/>
          <w:color w:val="333333"/>
          <w:sz w:val="24"/>
          <w:szCs w:val="24"/>
          <w:highlight w:val="none"/>
        </w:rPr>
        <w:t>月</w:t>
      </w:r>
      <w:r>
        <w:rPr>
          <w:rFonts w:hint="eastAsia" w:ascii="宋体" w:hAnsi="宋体" w:eastAsia="宋体" w:cs="宋体"/>
          <w:color w:val="333333"/>
          <w:sz w:val="24"/>
          <w:szCs w:val="24"/>
          <w:highlight w:val="none"/>
          <w:u w:val="single"/>
          <w:lang w:val="en-US" w:eastAsia="zh-CN"/>
        </w:rPr>
        <w:t>26</w:t>
      </w:r>
      <w:r>
        <w:rPr>
          <w:rFonts w:hint="eastAsia" w:ascii="宋体" w:hAnsi="宋体" w:eastAsia="宋体" w:cs="宋体"/>
          <w:color w:val="333333"/>
          <w:sz w:val="24"/>
          <w:szCs w:val="24"/>
          <w:highlight w:val="none"/>
        </w:rPr>
        <w:t>日至</w:t>
      </w:r>
      <w:r>
        <w:rPr>
          <w:rFonts w:hint="default" w:ascii="Times New Roman" w:hAnsi="Times New Roman" w:eastAsia="宋体" w:cs="Times New Roman"/>
          <w:color w:val="333333"/>
          <w:sz w:val="24"/>
          <w:szCs w:val="24"/>
          <w:highlight w:val="none"/>
          <w:u w:val="single"/>
        </w:rPr>
        <w:t>2021</w:t>
      </w:r>
      <w:r>
        <w:rPr>
          <w:rFonts w:hint="eastAsia" w:ascii="宋体" w:hAnsi="宋体" w:eastAsia="宋体" w:cs="宋体"/>
          <w:color w:val="333333"/>
          <w:sz w:val="24"/>
          <w:szCs w:val="24"/>
          <w:highlight w:val="none"/>
        </w:rPr>
        <w:t>年</w:t>
      </w:r>
      <w:r>
        <w:rPr>
          <w:rFonts w:hint="eastAsia" w:ascii="宋体" w:hAnsi="宋体" w:eastAsia="宋体" w:cs="宋体"/>
          <w:color w:val="333333"/>
          <w:sz w:val="24"/>
          <w:szCs w:val="24"/>
          <w:highlight w:val="none"/>
          <w:u w:val="single"/>
          <w:lang w:val="en-US" w:eastAsia="zh-CN"/>
        </w:rPr>
        <w:t>11</w:t>
      </w:r>
      <w:r>
        <w:rPr>
          <w:rFonts w:hint="eastAsia" w:ascii="宋体" w:hAnsi="宋体" w:eastAsia="宋体" w:cs="宋体"/>
          <w:color w:val="333333"/>
          <w:sz w:val="24"/>
          <w:szCs w:val="24"/>
          <w:highlight w:val="none"/>
        </w:rPr>
        <w:t>月</w:t>
      </w:r>
      <w:r>
        <w:rPr>
          <w:rFonts w:hint="eastAsia" w:ascii="Times New Roman" w:hAnsi="Times New Roman" w:eastAsia="宋体" w:cs="Times New Roman"/>
          <w:color w:val="333333"/>
          <w:sz w:val="24"/>
          <w:szCs w:val="24"/>
          <w:highlight w:val="none"/>
          <w:u w:val="single"/>
          <w:lang w:val="en-US" w:eastAsia="zh-CN"/>
        </w:rPr>
        <w:t>01</w:t>
      </w:r>
      <w:r>
        <w:rPr>
          <w:rFonts w:hint="eastAsia" w:ascii="宋体" w:hAnsi="宋体" w:eastAsia="宋体" w:cs="宋体"/>
          <w:color w:val="333333"/>
          <w:sz w:val="24"/>
          <w:szCs w:val="24"/>
          <w:highlight w:val="none"/>
        </w:rPr>
        <w:t>日</w:t>
      </w:r>
      <w:r>
        <w:rPr>
          <w:rFonts w:hint="eastAsia" w:ascii="宋体" w:hAnsi="宋体" w:eastAsia="宋体" w:cs="宋体"/>
          <w:color w:val="333333"/>
          <w:sz w:val="24"/>
          <w:szCs w:val="24"/>
          <w:highlight w:val="none"/>
        </w:rPr>
        <w:t>（每天上午</w:t>
      </w:r>
      <w:r>
        <w:rPr>
          <w:rFonts w:hint="default" w:ascii="Times New Roman" w:hAnsi="Times New Roman" w:eastAsia="宋体" w:cs="Times New Roman"/>
          <w:color w:val="333333"/>
          <w:sz w:val="24"/>
          <w:szCs w:val="24"/>
          <w:highlight w:val="none"/>
        </w:rPr>
        <w:t>8:00--12:00</w:t>
      </w:r>
      <w:r>
        <w:rPr>
          <w:rFonts w:hint="eastAsia" w:ascii="宋体" w:hAnsi="宋体" w:eastAsia="宋体" w:cs="宋体"/>
          <w:color w:val="333333"/>
          <w:sz w:val="24"/>
          <w:szCs w:val="24"/>
          <w:highlight w:val="none"/>
        </w:rPr>
        <w:t>，下午</w:t>
      </w:r>
      <w:r>
        <w:rPr>
          <w:rFonts w:hint="default" w:ascii="Times New Roman" w:hAnsi="Times New Roman" w:eastAsia="宋体" w:cs="Times New Roman"/>
          <w:color w:val="333333"/>
          <w:sz w:val="24"/>
          <w:szCs w:val="24"/>
          <w:highlight w:val="none"/>
        </w:rPr>
        <w:t>13:00--17:00,</w:t>
      </w:r>
      <w:r>
        <w:rPr>
          <w:rFonts w:hint="eastAsia" w:ascii="宋体" w:hAnsi="宋体" w:eastAsia="宋体" w:cs="宋体"/>
          <w:color w:val="333333"/>
          <w:sz w:val="24"/>
          <w:szCs w:val="24"/>
          <w:highlight w:val="none"/>
        </w:rPr>
        <w:t>法定节假日除外）。</w:t>
      </w:r>
      <w:r>
        <w:rPr>
          <w:rFonts w:hint="eastAsia" w:ascii="宋体" w:hAnsi="宋体" w:eastAsia="宋体" w:cs="宋体"/>
          <w:color w:val="333333"/>
          <w:sz w:val="24"/>
          <w:szCs w:val="24"/>
          <w:highlight w:val="none"/>
        </w:rPr>
        <w:br w:type="textWrapping"/>
      </w:r>
      <w:r>
        <w:rPr>
          <w:rFonts w:hint="eastAsia" w:ascii="宋体" w:hAnsi="宋体" w:eastAsia="宋体" w:cs="宋体"/>
          <w:color w:val="333333"/>
          <w:sz w:val="24"/>
          <w:szCs w:val="24"/>
          <w:highlight w:val="none"/>
        </w:rPr>
        <w:t>  6.2投标截止时间及不见面开标系统注意事项：</w:t>
      </w:r>
    </w:p>
    <w:p>
      <w:pPr>
        <w:pStyle w:val="18"/>
        <w:keepNext w:val="0"/>
        <w:keepLines w:val="0"/>
        <w:widowControl/>
        <w:suppressLineNumbers w:val="0"/>
        <w:wordWrap w:val="0"/>
        <w:spacing w:before="100" w:beforeAutospacing="0" w:after="100" w:afterAutospacing="0" w:line="360" w:lineRule="auto"/>
        <w:ind w:left="0" w:right="0" w:firstLine="480"/>
        <w:jc w:val="left"/>
        <w:rPr>
          <w:rFonts w:hint="eastAsia" w:ascii="宋体" w:hAnsi="宋体" w:eastAsia="宋体" w:cs="宋体"/>
          <w:sz w:val="24"/>
          <w:szCs w:val="24"/>
          <w:highlight w:val="none"/>
        </w:rPr>
      </w:pPr>
      <w:r>
        <w:rPr>
          <w:rFonts w:ascii="Calibri" w:hAnsi="Calibri" w:eastAsia="宋体" w:cs="Calibri"/>
          <w:color w:val="333333"/>
          <w:sz w:val="21"/>
          <w:szCs w:val="21"/>
          <w:highlight w:val="none"/>
        </w:rPr>
        <w:t>①</w:t>
      </w:r>
      <w:r>
        <w:rPr>
          <w:rFonts w:hint="eastAsia" w:ascii="宋体" w:hAnsi="宋体" w:eastAsia="宋体" w:cs="宋体"/>
          <w:color w:val="333333"/>
          <w:sz w:val="24"/>
          <w:szCs w:val="24"/>
          <w:highlight w:val="none"/>
        </w:rPr>
        <w:t>投标文件递交截止时间：</w:t>
      </w:r>
      <w:r>
        <w:rPr>
          <w:rFonts w:hint="default" w:ascii="Times New Roman" w:hAnsi="Times New Roman" w:eastAsia="宋体" w:cs="Times New Roman"/>
          <w:color w:val="333333"/>
          <w:sz w:val="24"/>
          <w:szCs w:val="24"/>
          <w:highlight w:val="none"/>
          <w:u w:val="single"/>
        </w:rPr>
        <w:t>2021</w:t>
      </w:r>
      <w:r>
        <w:rPr>
          <w:rFonts w:hint="eastAsia" w:ascii="宋体" w:hAnsi="宋体" w:eastAsia="宋体" w:cs="宋体"/>
          <w:color w:val="333333"/>
          <w:sz w:val="24"/>
          <w:szCs w:val="24"/>
          <w:highlight w:val="none"/>
        </w:rPr>
        <w:t>年</w:t>
      </w:r>
      <w:r>
        <w:rPr>
          <w:rFonts w:hint="eastAsia" w:ascii="Times New Roman" w:hAnsi="Times New Roman" w:eastAsia="宋体" w:cs="Times New Roman"/>
          <w:color w:val="333333"/>
          <w:sz w:val="24"/>
          <w:szCs w:val="24"/>
          <w:highlight w:val="none"/>
          <w:u w:val="single"/>
          <w:lang w:val="en-US" w:eastAsia="zh-CN"/>
        </w:rPr>
        <w:t>12</w:t>
      </w:r>
      <w:r>
        <w:rPr>
          <w:rFonts w:hint="default" w:ascii="Times New Roman" w:hAnsi="Times New Roman" w:eastAsia="宋体" w:cs="Times New Roman"/>
          <w:color w:val="333333"/>
          <w:sz w:val="24"/>
          <w:szCs w:val="24"/>
          <w:highlight w:val="none"/>
          <w:u w:val="single"/>
        </w:rPr>
        <w:t xml:space="preserve"> </w:t>
      </w:r>
      <w:r>
        <w:rPr>
          <w:rFonts w:hint="eastAsia" w:ascii="宋体" w:hAnsi="宋体" w:eastAsia="宋体" w:cs="宋体"/>
          <w:color w:val="333333"/>
          <w:sz w:val="24"/>
          <w:szCs w:val="24"/>
          <w:highlight w:val="none"/>
        </w:rPr>
        <w:t>月</w:t>
      </w:r>
      <w:r>
        <w:rPr>
          <w:rFonts w:hint="eastAsia" w:ascii="Times New Roman" w:hAnsi="Times New Roman" w:eastAsia="宋体" w:cs="Times New Roman"/>
          <w:color w:val="333333"/>
          <w:sz w:val="24"/>
          <w:szCs w:val="24"/>
          <w:highlight w:val="none"/>
          <w:u w:val="single"/>
          <w:lang w:val="en-US" w:eastAsia="zh-CN"/>
        </w:rPr>
        <w:t>01</w:t>
      </w:r>
      <w:r>
        <w:rPr>
          <w:rFonts w:hint="default" w:ascii="Times New Roman" w:hAnsi="Times New Roman" w:eastAsia="宋体" w:cs="Times New Roman"/>
          <w:color w:val="333333"/>
          <w:sz w:val="24"/>
          <w:szCs w:val="24"/>
          <w:highlight w:val="none"/>
          <w:u w:val="single"/>
        </w:rPr>
        <w:t xml:space="preserve"> </w:t>
      </w:r>
      <w:r>
        <w:rPr>
          <w:rFonts w:hint="eastAsia" w:ascii="宋体" w:hAnsi="宋体" w:eastAsia="宋体" w:cs="宋体"/>
          <w:color w:val="333333"/>
          <w:sz w:val="24"/>
          <w:szCs w:val="24"/>
          <w:highlight w:val="none"/>
        </w:rPr>
        <w:t>日</w:t>
      </w:r>
      <w:r>
        <w:rPr>
          <w:rFonts w:hint="default" w:ascii="Times New Roman" w:hAnsi="Times New Roman" w:eastAsia="宋体" w:cs="Times New Roman"/>
          <w:color w:val="333333"/>
          <w:sz w:val="24"/>
          <w:szCs w:val="24"/>
          <w:highlight w:val="none"/>
          <w:u w:val="single"/>
        </w:rPr>
        <w:t>9 </w:t>
      </w:r>
      <w:r>
        <w:rPr>
          <w:rFonts w:hint="eastAsia" w:ascii="宋体" w:hAnsi="宋体" w:eastAsia="宋体" w:cs="宋体"/>
          <w:color w:val="333333"/>
          <w:sz w:val="24"/>
          <w:szCs w:val="24"/>
          <w:highlight w:val="none"/>
        </w:rPr>
        <w:t>时</w:t>
      </w:r>
      <w:r>
        <w:rPr>
          <w:rFonts w:hint="eastAsia" w:ascii="Times New Roman" w:hAnsi="Times New Roman" w:eastAsia="宋体" w:cs="Times New Roman"/>
          <w:color w:val="333333"/>
          <w:sz w:val="24"/>
          <w:szCs w:val="24"/>
          <w:highlight w:val="none"/>
          <w:u w:val="single"/>
          <w:lang w:val="en-US" w:eastAsia="zh-CN"/>
        </w:rPr>
        <w:t>00</w:t>
      </w:r>
      <w:r>
        <w:rPr>
          <w:rFonts w:hint="eastAsia" w:ascii="宋体" w:hAnsi="宋体" w:eastAsia="宋体" w:cs="宋体"/>
          <w:color w:val="333333"/>
          <w:sz w:val="24"/>
          <w:szCs w:val="24"/>
          <w:highlight w:val="none"/>
        </w:rPr>
        <w:t>分</w:t>
      </w:r>
      <w:r>
        <w:rPr>
          <w:rFonts w:hint="eastAsia" w:ascii="宋体" w:hAnsi="宋体" w:eastAsia="宋体" w:cs="宋体"/>
          <w:color w:val="333333"/>
          <w:sz w:val="24"/>
          <w:szCs w:val="24"/>
          <w:highlight w:val="none"/>
        </w:rPr>
        <w:t>，过时作废。</w:t>
      </w:r>
    </w:p>
    <w:p>
      <w:pPr>
        <w:pStyle w:val="18"/>
        <w:keepNext w:val="0"/>
        <w:keepLines w:val="0"/>
        <w:widowControl/>
        <w:suppressLineNumbers w:val="0"/>
        <w:wordWrap w:val="0"/>
        <w:spacing w:before="100" w:beforeAutospacing="0" w:after="100" w:afterAutospacing="0" w:line="360" w:lineRule="auto"/>
        <w:ind w:left="0" w:right="0" w:firstLine="480"/>
        <w:jc w:val="left"/>
        <w:rPr>
          <w:rFonts w:hint="eastAsia" w:ascii="宋体" w:hAnsi="宋体" w:eastAsia="宋体" w:cs="宋体"/>
          <w:sz w:val="24"/>
          <w:szCs w:val="24"/>
          <w:highlight w:val="none"/>
        </w:rPr>
      </w:pPr>
      <w:r>
        <w:rPr>
          <w:rFonts w:hint="default" w:ascii="Calibri" w:hAnsi="Calibri" w:eastAsia="宋体" w:cs="Calibri"/>
          <w:color w:val="333333"/>
          <w:sz w:val="21"/>
          <w:szCs w:val="21"/>
          <w:highlight w:val="none"/>
        </w:rPr>
        <w:t>②</w:t>
      </w:r>
      <w:r>
        <w:rPr>
          <w:rFonts w:hint="eastAsia" w:ascii="宋体" w:hAnsi="宋体" w:eastAsia="宋体" w:cs="宋体"/>
          <w:color w:val="333333"/>
          <w:sz w:val="24"/>
          <w:szCs w:val="24"/>
          <w:highlight w:val="none"/>
        </w:rPr>
        <w:t>在投标截止时间前，各投标人必须在不见面开标系统页面进行在线签到，投标截止后系统将自动停止签到，未在投标截止时间前签到的投标单位将无法进入后续的开标环节。</w:t>
      </w:r>
    </w:p>
    <w:p>
      <w:pPr>
        <w:pStyle w:val="18"/>
        <w:keepNext w:val="0"/>
        <w:keepLines w:val="0"/>
        <w:widowControl/>
        <w:suppressLineNumbers w:val="0"/>
        <w:wordWrap w:val="0"/>
        <w:spacing w:before="100" w:beforeAutospacing="0" w:after="100" w:afterAutospacing="0" w:line="360" w:lineRule="auto"/>
        <w:ind w:left="0" w:right="0" w:firstLine="480"/>
        <w:jc w:val="left"/>
        <w:rPr>
          <w:rFonts w:hint="eastAsia" w:ascii="宋体" w:hAnsi="宋体" w:eastAsia="宋体" w:cs="宋体"/>
          <w:sz w:val="24"/>
          <w:szCs w:val="24"/>
          <w:highlight w:val="none"/>
        </w:rPr>
      </w:pPr>
      <w:r>
        <w:rPr>
          <w:rFonts w:hint="eastAsia" w:ascii="宋体" w:hAnsi="宋体" w:eastAsia="宋体" w:cs="宋体"/>
          <w:color w:val="333333"/>
          <w:sz w:val="24"/>
          <w:szCs w:val="24"/>
          <w:highlight w:val="none"/>
        </w:rPr>
        <w:t>关于不见面开标的操作请参照</w:t>
      </w:r>
      <w:r>
        <w:rPr>
          <w:rFonts w:hint="eastAsia" w:ascii="宋体" w:hAnsi="宋体" w:eastAsia="宋体" w:cs="宋体"/>
          <w:color w:val="000000"/>
          <w:sz w:val="24"/>
          <w:szCs w:val="24"/>
          <w:highlight w:val="none"/>
        </w:rPr>
        <w:t>临沂市公共资源交易中心网（</w:t>
      </w:r>
      <w:r>
        <w:rPr>
          <w:rFonts w:hint="default" w:ascii="Times New Roman" w:hAnsi="Times New Roman" w:eastAsia="宋体" w:cs="Times New Roman"/>
          <w:color w:val="000000"/>
          <w:sz w:val="24"/>
          <w:szCs w:val="24"/>
          <w:highlight w:val="none"/>
        </w:rPr>
        <w:t>http://ggzyjy.linyi.gov.cn/linyi/</w:t>
      </w:r>
      <w:r>
        <w:rPr>
          <w:rFonts w:hint="eastAsia" w:ascii="宋体" w:hAnsi="宋体" w:eastAsia="宋体" w:cs="宋体"/>
          <w:color w:val="000000"/>
          <w:sz w:val="24"/>
          <w:szCs w:val="24"/>
          <w:highlight w:val="none"/>
        </w:rPr>
        <w:t>）</w:t>
      </w:r>
      <w:r>
        <w:rPr>
          <w:rFonts w:hint="eastAsia" w:ascii="宋体" w:hAnsi="宋体" w:eastAsia="宋体" w:cs="宋体"/>
          <w:color w:val="333333"/>
          <w:sz w:val="24"/>
          <w:szCs w:val="24"/>
          <w:highlight w:val="none"/>
        </w:rPr>
        <w:t>“办事指南”中“临沂市不见面开标及远程评标操作手册”下载“不见面开标投标人操作手册</w:t>
      </w:r>
      <w:r>
        <w:rPr>
          <w:rFonts w:hint="default" w:ascii="Times New Roman" w:hAnsi="Times New Roman" w:eastAsia="宋体" w:cs="Times New Roman"/>
          <w:color w:val="333333"/>
          <w:sz w:val="24"/>
          <w:szCs w:val="24"/>
          <w:highlight w:val="none"/>
        </w:rPr>
        <w:t>.doc</w:t>
      </w:r>
      <w:r>
        <w:rPr>
          <w:rFonts w:hint="eastAsia" w:ascii="宋体" w:hAnsi="宋体" w:eastAsia="宋体" w:cs="宋体"/>
          <w:color w:val="333333"/>
          <w:sz w:val="24"/>
          <w:szCs w:val="24"/>
          <w:highlight w:val="none"/>
        </w:rPr>
        <w:t>”。</w:t>
      </w:r>
      <w:r>
        <w:rPr>
          <w:rFonts w:hint="default" w:ascii="Calibri" w:hAnsi="Calibri" w:eastAsia="宋体" w:cs="Calibri"/>
          <w:color w:val="333333"/>
          <w:sz w:val="21"/>
          <w:szCs w:val="21"/>
          <w:highlight w:val="none"/>
        </w:rPr>
        <w:t>      </w:t>
      </w:r>
    </w:p>
    <w:p>
      <w:pPr>
        <w:pStyle w:val="18"/>
        <w:keepNext w:val="0"/>
        <w:keepLines w:val="0"/>
        <w:widowControl/>
        <w:suppressLineNumbers w:val="0"/>
        <w:shd w:val="clear" w:fill="FFFFFF"/>
        <w:wordWrap w:val="0"/>
        <w:spacing w:before="0" w:beforeAutospacing="0" w:after="0" w:afterAutospacing="0" w:line="500" w:lineRule="atLeast"/>
        <w:ind w:left="0" w:right="0" w:firstLine="240"/>
        <w:jc w:val="left"/>
        <w:rPr>
          <w:rFonts w:hint="eastAsia" w:ascii="宋体" w:hAnsi="宋体" w:eastAsia="宋体" w:cs="宋体"/>
          <w:sz w:val="24"/>
          <w:szCs w:val="24"/>
          <w:highlight w:val="none"/>
        </w:rPr>
      </w:pPr>
      <w:r>
        <w:rPr>
          <w:rFonts w:hint="eastAsia" w:ascii="宋体" w:hAnsi="宋体" w:eastAsia="宋体" w:cs="宋体"/>
          <w:color w:val="333333"/>
          <w:sz w:val="24"/>
          <w:szCs w:val="24"/>
          <w:highlight w:val="none"/>
          <w:shd w:val="clear" w:fill="FFFFFF"/>
        </w:rPr>
        <w:t>  6.3递交投标文件地点：临沂市公共资源交易网电子招投标交易平台。</w:t>
      </w:r>
    </w:p>
    <w:p>
      <w:pPr>
        <w:pStyle w:val="18"/>
        <w:keepNext w:val="0"/>
        <w:keepLines w:val="0"/>
        <w:widowControl/>
        <w:suppressLineNumbers w:val="0"/>
        <w:wordWrap w:val="0"/>
        <w:spacing w:before="100" w:beforeAutospacing="0" w:after="100" w:afterAutospacing="0" w:line="360" w:lineRule="auto"/>
        <w:ind w:left="0" w:right="0" w:firstLine="240"/>
        <w:jc w:val="left"/>
        <w:rPr>
          <w:rFonts w:hint="eastAsia" w:ascii="宋体" w:hAnsi="宋体" w:eastAsia="宋体" w:cs="宋体"/>
          <w:sz w:val="24"/>
          <w:szCs w:val="24"/>
          <w:highlight w:val="none"/>
        </w:rPr>
      </w:pPr>
      <w:r>
        <w:rPr>
          <w:rFonts w:hint="eastAsia" w:ascii="宋体" w:hAnsi="宋体" w:eastAsia="宋体" w:cs="宋体"/>
          <w:color w:val="333333"/>
          <w:sz w:val="24"/>
          <w:szCs w:val="24"/>
          <w:highlight w:val="none"/>
        </w:rPr>
        <w:t>  6.4开标地点：费县政务服务中心三楼公共资源交易中心</w:t>
      </w:r>
      <w:r>
        <w:rPr>
          <w:rFonts w:hint="eastAsia" w:ascii="宋体" w:hAnsi="宋体" w:eastAsia="宋体" w:cs="宋体"/>
          <w:color w:val="333333"/>
          <w:sz w:val="24"/>
          <w:szCs w:val="24"/>
          <w:highlight w:val="none"/>
        </w:rPr>
        <w:t>第</w:t>
      </w:r>
      <w:r>
        <w:rPr>
          <w:rFonts w:hint="eastAsia" w:ascii="宋体" w:hAnsi="宋体" w:eastAsia="宋体" w:cs="宋体"/>
          <w:color w:val="333333"/>
          <w:sz w:val="24"/>
          <w:szCs w:val="24"/>
          <w:highlight w:val="none"/>
          <w:u w:val="single"/>
        </w:rPr>
        <w:t xml:space="preserve">2 </w:t>
      </w:r>
      <w:r>
        <w:rPr>
          <w:rFonts w:hint="eastAsia" w:ascii="宋体" w:hAnsi="宋体" w:eastAsia="宋体" w:cs="宋体"/>
          <w:color w:val="333333"/>
          <w:sz w:val="24"/>
          <w:szCs w:val="24"/>
          <w:highlight w:val="none"/>
        </w:rPr>
        <w:t>开标室</w:t>
      </w:r>
      <w:r>
        <w:rPr>
          <w:rFonts w:hint="eastAsia" w:ascii="宋体" w:hAnsi="宋体" w:eastAsia="宋体" w:cs="宋体"/>
          <w:color w:val="333333"/>
          <w:sz w:val="24"/>
          <w:szCs w:val="24"/>
          <w:highlight w:val="none"/>
        </w:rPr>
        <w:t>。</w:t>
      </w:r>
    </w:p>
    <w:p>
      <w:pPr>
        <w:pStyle w:val="18"/>
        <w:keepNext w:val="0"/>
        <w:keepLines w:val="0"/>
        <w:widowControl/>
        <w:suppressLineNumbers w:val="0"/>
        <w:wordWrap w:val="0"/>
        <w:spacing w:before="0" w:beforeAutospacing="0" w:after="0" w:afterAutospacing="0" w:line="440" w:lineRule="atLeast"/>
        <w:ind w:left="0" w:right="0" w:firstLine="0"/>
        <w:jc w:val="both"/>
        <w:rPr>
          <w:rFonts w:hint="default" w:ascii="Times New Roman" w:hAnsi="Times New Roman" w:cs="Times New Roman"/>
          <w:sz w:val="21"/>
          <w:szCs w:val="21"/>
          <w:highlight w:val="none"/>
        </w:rPr>
      </w:pPr>
      <w:r>
        <w:rPr>
          <w:rFonts w:hint="eastAsia" w:ascii="宋体" w:hAnsi="宋体" w:eastAsia="宋体" w:cs="宋体"/>
          <w:b/>
          <w:bCs/>
          <w:color w:val="333333"/>
          <w:sz w:val="24"/>
          <w:szCs w:val="24"/>
          <w:highlight w:val="none"/>
        </w:rPr>
        <w:t>七、投标保证金</w:t>
      </w:r>
    </w:p>
    <w:p>
      <w:pPr>
        <w:pStyle w:val="18"/>
        <w:keepNext w:val="0"/>
        <w:keepLines w:val="0"/>
        <w:widowControl/>
        <w:suppressLineNumbers w:val="0"/>
        <w:wordWrap w:val="0"/>
        <w:spacing w:before="100" w:beforeAutospacing="0" w:after="100" w:afterAutospacing="0" w:line="360" w:lineRule="auto"/>
        <w:ind w:left="0" w:right="0" w:firstLine="480"/>
        <w:jc w:val="both"/>
        <w:rPr>
          <w:rFonts w:hint="eastAsia" w:ascii="宋体" w:hAnsi="宋体" w:eastAsia="宋体" w:cs="宋体"/>
          <w:sz w:val="24"/>
          <w:szCs w:val="24"/>
          <w:highlight w:val="none"/>
        </w:rPr>
      </w:pPr>
      <w:r>
        <w:rPr>
          <w:rFonts w:hint="eastAsia" w:ascii="宋体" w:hAnsi="宋体" w:eastAsia="宋体" w:cs="宋体"/>
          <w:color w:val="333333"/>
          <w:sz w:val="24"/>
          <w:szCs w:val="24"/>
          <w:highlight w:val="none"/>
        </w:rPr>
        <w:t>7.1投标单位需在投标截止时间之前须缴</w:t>
      </w:r>
      <w:bookmarkStart w:id="0" w:name="_GoBack"/>
      <w:bookmarkEnd w:id="0"/>
      <w:r>
        <w:rPr>
          <w:rFonts w:hint="eastAsia" w:ascii="宋体" w:hAnsi="宋体" w:eastAsia="宋体" w:cs="宋体"/>
          <w:color w:val="333333"/>
          <w:sz w:val="24"/>
          <w:szCs w:val="24"/>
          <w:highlight w:val="none"/>
        </w:rPr>
        <w:t>纳投标保证金：</w:t>
      </w:r>
      <w:r>
        <w:rPr>
          <w:rStyle w:val="31"/>
          <w:rFonts w:hint="eastAsia" w:ascii="宋体" w:hAnsi="宋体" w:eastAsia="宋体" w:cs="宋体"/>
          <w:bCs/>
          <w:kern w:val="2"/>
          <w:sz w:val="24"/>
          <w:szCs w:val="24"/>
          <w:highlight w:val="none"/>
          <w:lang w:val="en-US" w:eastAsia="zh-CN" w:bidi="ar-SA"/>
        </w:rPr>
        <w:t>施工标投标保证金：30000.00元（大写：叁万元整）；监理标投标保证金：600.00元（大写：陆佰元整）</w:t>
      </w:r>
      <w:r>
        <w:rPr>
          <w:rStyle w:val="31"/>
          <w:rFonts w:hint="eastAsia" w:cs="宋体"/>
          <w:bCs/>
          <w:kern w:val="2"/>
          <w:sz w:val="24"/>
          <w:szCs w:val="24"/>
          <w:highlight w:val="none"/>
          <w:lang w:val="en-US" w:eastAsia="zh-CN" w:bidi="ar-SA"/>
        </w:rPr>
        <w:t>，</w:t>
      </w:r>
      <w:r>
        <w:rPr>
          <w:rFonts w:hint="eastAsia" w:ascii="宋体" w:hAnsi="宋体" w:eastAsia="宋体" w:cs="宋体"/>
          <w:color w:val="333333"/>
          <w:sz w:val="24"/>
          <w:szCs w:val="24"/>
          <w:highlight w:val="none"/>
        </w:rPr>
        <w:t>投标人可以采用投标保证金、保险保函、银行保函等任一形式作为投标保证，均需符合国务院《优化营商环境条例》第二十五条的相关规定。本项目为“不见面”开标，建议保证金形式优先选择电子保函形式。     </w:t>
      </w:r>
    </w:p>
    <w:p>
      <w:pPr>
        <w:pStyle w:val="18"/>
        <w:keepNext w:val="0"/>
        <w:keepLines w:val="0"/>
        <w:widowControl/>
        <w:suppressLineNumbers w:val="0"/>
        <w:wordWrap w:val="0"/>
        <w:spacing w:before="0" w:beforeAutospacing="0" w:after="0" w:afterAutospacing="0" w:line="440" w:lineRule="atLeast"/>
        <w:ind w:left="0" w:right="0"/>
        <w:jc w:val="both"/>
        <w:rPr>
          <w:rFonts w:hint="default" w:ascii="Times New Roman" w:hAnsi="Times New Roman" w:cs="Times New Roman"/>
          <w:sz w:val="21"/>
          <w:szCs w:val="21"/>
          <w:highlight w:val="none"/>
        </w:rPr>
      </w:pPr>
      <w:r>
        <w:rPr>
          <w:rFonts w:hint="eastAsia" w:ascii="宋体" w:hAnsi="宋体" w:eastAsia="宋体" w:cs="宋体"/>
          <w:b/>
          <w:bCs/>
          <w:color w:val="333333"/>
          <w:sz w:val="24"/>
          <w:szCs w:val="24"/>
          <w:highlight w:val="none"/>
        </w:rPr>
        <w:t>八、发布公告的媒介</w:t>
      </w:r>
    </w:p>
    <w:p>
      <w:pPr>
        <w:pStyle w:val="18"/>
        <w:keepNext w:val="0"/>
        <w:keepLines w:val="0"/>
        <w:widowControl/>
        <w:suppressLineNumbers w:val="0"/>
        <w:wordWrap w:val="0"/>
        <w:spacing w:before="0" w:beforeAutospacing="0" w:after="0" w:afterAutospacing="0" w:line="440" w:lineRule="atLeast"/>
        <w:ind w:left="0" w:right="0" w:firstLine="480"/>
        <w:jc w:val="both"/>
        <w:rPr>
          <w:rFonts w:hint="default" w:ascii="Times New Roman" w:hAnsi="Times New Roman" w:cs="Times New Roman"/>
          <w:b/>
          <w:bCs/>
          <w:sz w:val="21"/>
          <w:szCs w:val="21"/>
          <w:highlight w:val="none"/>
        </w:rPr>
      </w:pPr>
      <w:r>
        <w:rPr>
          <w:rFonts w:hint="eastAsia" w:ascii="宋体" w:hAnsi="宋体" w:eastAsia="宋体" w:cs="宋体"/>
          <w:b/>
          <w:bCs/>
          <w:color w:val="333333"/>
          <w:sz w:val="24"/>
          <w:szCs w:val="24"/>
          <w:highlight w:val="none"/>
        </w:rPr>
        <w:t>本次招标公告在临沂市公共资源交易中心网、费县人民政府网上发布。</w:t>
      </w:r>
    </w:p>
    <w:p>
      <w:pPr>
        <w:pStyle w:val="18"/>
        <w:keepNext w:val="0"/>
        <w:keepLines w:val="0"/>
        <w:widowControl/>
        <w:suppressLineNumbers w:val="0"/>
        <w:wordWrap w:val="0"/>
        <w:spacing w:before="0" w:beforeAutospacing="0" w:after="0" w:afterAutospacing="0" w:line="440" w:lineRule="atLeast"/>
        <w:ind w:left="0" w:right="0"/>
        <w:jc w:val="both"/>
        <w:rPr>
          <w:rFonts w:hint="eastAsia" w:ascii="宋体" w:hAnsi="宋体" w:eastAsia="宋体" w:cs="宋体"/>
          <w:b/>
          <w:bCs/>
          <w:color w:val="333333"/>
          <w:sz w:val="24"/>
          <w:szCs w:val="24"/>
          <w:highlight w:val="none"/>
        </w:rPr>
      </w:pPr>
      <w:r>
        <w:rPr>
          <w:rFonts w:hint="eastAsia" w:ascii="宋体" w:hAnsi="宋体" w:eastAsia="宋体" w:cs="宋体"/>
          <w:b/>
          <w:bCs/>
          <w:color w:val="333333"/>
          <w:sz w:val="24"/>
          <w:szCs w:val="24"/>
          <w:highlight w:val="none"/>
          <w:lang w:val="en-US" w:eastAsia="zh-CN"/>
        </w:rPr>
        <w:t>九、</w:t>
      </w:r>
      <w:r>
        <w:rPr>
          <w:rFonts w:hint="eastAsia" w:ascii="宋体" w:hAnsi="宋体" w:eastAsia="宋体" w:cs="宋体"/>
          <w:b/>
          <w:bCs/>
          <w:color w:val="333333"/>
          <w:sz w:val="24"/>
          <w:szCs w:val="24"/>
          <w:highlight w:val="none"/>
        </w:rPr>
        <w:t>联系方式</w:t>
      </w:r>
    </w:p>
    <w:p>
      <w:pPr>
        <w:pageBreakBefore w:val="0"/>
        <w:kinsoku/>
        <w:wordWrap/>
        <w:overflowPunct/>
        <w:topLinePunct w:val="0"/>
        <w:autoSpaceDE/>
        <w:autoSpaceDN/>
        <w:bidi w:val="0"/>
        <w:spacing w:line="520" w:lineRule="exact"/>
        <w:ind w:firstLine="480" w:firstLineChars="200"/>
        <w:rPr>
          <w:rFonts w:hint="eastAsia" w:ascii="宋体" w:hAnsi="宋体" w:eastAsia="宋体" w:cs="宋体"/>
          <w:highlight w:val="none"/>
        </w:rPr>
      </w:pPr>
      <w:r>
        <w:rPr>
          <w:rFonts w:hint="eastAsia" w:ascii="宋体" w:hAnsi="宋体" w:eastAsia="宋体" w:cs="宋体"/>
          <w:highlight w:val="none"/>
        </w:rPr>
        <w:t>招标人：费县小型水库除险加固工程</w:t>
      </w:r>
      <w:r>
        <w:rPr>
          <w:rFonts w:hint="eastAsia" w:ascii="宋体" w:hAnsi="宋体" w:eastAsia="宋体" w:cs="宋体"/>
          <w:highlight w:val="none"/>
          <w:lang w:val="en-US" w:eastAsia="zh-CN"/>
        </w:rPr>
        <w:t xml:space="preserve">   </w:t>
      </w:r>
      <w:r>
        <w:rPr>
          <w:rFonts w:hint="eastAsia" w:ascii="宋体" w:hAnsi="宋体" w:eastAsia="宋体" w:cs="宋体"/>
          <w:highlight w:val="none"/>
        </w:rPr>
        <w:t>招标代理机构：山东蓝盾招标代理有限公司</w:t>
      </w:r>
    </w:p>
    <w:p>
      <w:pPr>
        <w:pageBreakBefore w:val="0"/>
        <w:kinsoku/>
        <w:wordWrap/>
        <w:overflowPunct/>
        <w:topLinePunct w:val="0"/>
        <w:autoSpaceDE/>
        <w:autoSpaceDN/>
        <w:bidi w:val="0"/>
        <w:spacing w:line="520" w:lineRule="exact"/>
        <w:ind w:firstLine="480" w:firstLineChars="200"/>
        <w:rPr>
          <w:rFonts w:hint="eastAsia" w:ascii="宋体" w:hAnsi="宋体" w:eastAsia="宋体" w:cs="宋体"/>
          <w:highlight w:val="none"/>
        </w:rPr>
      </w:pPr>
      <w:r>
        <w:rPr>
          <w:rFonts w:hint="eastAsia" w:ascii="宋体" w:hAnsi="宋体" w:eastAsia="宋体" w:cs="宋体"/>
          <w:highlight w:val="none"/>
        </w:rPr>
        <w:t>建设管理处</w:t>
      </w:r>
    </w:p>
    <w:p>
      <w:pPr>
        <w:pageBreakBefore w:val="0"/>
        <w:kinsoku/>
        <w:wordWrap/>
        <w:overflowPunct/>
        <w:topLinePunct w:val="0"/>
        <w:autoSpaceDE/>
        <w:autoSpaceDN/>
        <w:bidi w:val="0"/>
        <w:spacing w:line="520" w:lineRule="exact"/>
        <w:ind w:firstLine="480" w:firstLineChars="200"/>
        <w:rPr>
          <w:rFonts w:hint="eastAsia" w:ascii="宋体" w:hAnsi="宋体" w:eastAsia="宋体" w:cs="宋体"/>
          <w:highlight w:val="none"/>
          <w:lang w:val="en-US" w:eastAsia="zh-CN"/>
        </w:rPr>
      </w:pPr>
      <w:r>
        <w:rPr>
          <w:rFonts w:hint="eastAsia" w:ascii="宋体" w:hAnsi="宋体" w:eastAsia="宋体" w:cs="宋体"/>
          <w:highlight w:val="none"/>
        </w:rPr>
        <w:t>联</w:t>
      </w:r>
      <w:r>
        <w:rPr>
          <w:rFonts w:hint="eastAsia" w:ascii="宋体" w:hAnsi="宋体" w:eastAsia="宋体" w:cs="宋体"/>
          <w:highlight w:val="none"/>
          <w:lang w:val="en-US" w:eastAsia="zh-CN"/>
        </w:rPr>
        <w:t xml:space="preserve"> </w:t>
      </w:r>
      <w:r>
        <w:rPr>
          <w:rFonts w:hint="eastAsia" w:ascii="宋体" w:hAnsi="宋体" w:eastAsia="宋体" w:cs="宋体"/>
          <w:highlight w:val="none"/>
        </w:rPr>
        <w:t>系</w:t>
      </w:r>
      <w:r>
        <w:rPr>
          <w:rFonts w:hint="eastAsia" w:ascii="宋体" w:hAnsi="宋体" w:eastAsia="宋体" w:cs="宋体"/>
          <w:highlight w:val="none"/>
          <w:lang w:val="en-US" w:eastAsia="zh-CN"/>
        </w:rPr>
        <w:t xml:space="preserve"> </w:t>
      </w:r>
      <w:r>
        <w:rPr>
          <w:rFonts w:hint="eastAsia" w:ascii="宋体" w:hAnsi="宋体" w:eastAsia="宋体" w:cs="宋体"/>
          <w:highlight w:val="none"/>
        </w:rPr>
        <w:t>人：</w:t>
      </w:r>
      <w:r>
        <w:rPr>
          <w:rFonts w:hint="eastAsia" w:ascii="宋体" w:hAnsi="宋体" w:eastAsia="宋体" w:cs="宋体"/>
          <w:highlight w:val="none"/>
          <w:lang w:eastAsia="zh-CN"/>
        </w:rPr>
        <w:t>郁站长</w:t>
      </w:r>
      <w:r>
        <w:rPr>
          <w:rFonts w:hint="eastAsia" w:ascii="宋体" w:hAnsi="宋体" w:eastAsia="宋体" w:cs="宋体"/>
          <w:highlight w:val="none"/>
        </w:rPr>
        <w:tab/>
      </w:r>
      <w:r>
        <w:rPr>
          <w:rFonts w:hint="eastAsia" w:ascii="宋体" w:hAnsi="宋体" w:eastAsia="宋体" w:cs="宋体"/>
          <w:highlight w:val="none"/>
          <w:lang w:val="en-US" w:eastAsia="zh-CN"/>
        </w:rPr>
        <w:t xml:space="preserve">                  </w:t>
      </w:r>
      <w:r>
        <w:rPr>
          <w:rFonts w:hint="eastAsia" w:ascii="宋体" w:hAnsi="宋体" w:eastAsia="宋体" w:cs="宋体"/>
          <w:highlight w:val="none"/>
        </w:rPr>
        <w:t>联</w:t>
      </w:r>
      <w:r>
        <w:rPr>
          <w:rFonts w:hint="eastAsia" w:ascii="宋体" w:hAnsi="宋体" w:eastAsia="宋体" w:cs="宋体"/>
          <w:highlight w:val="none"/>
          <w:lang w:val="en-US" w:eastAsia="zh-CN"/>
        </w:rPr>
        <w:t xml:space="preserve"> </w:t>
      </w:r>
      <w:r>
        <w:rPr>
          <w:rFonts w:hint="eastAsia" w:ascii="宋体" w:hAnsi="宋体" w:eastAsia="宋体" w:cs="宋体"/>
          <w:highlight w:val="none"/>
        </w:rPr>
        <w:t>系</w:t>
      </w:r>
      <w:r>
        <w:rPr>
          <w:rFonts w:hint="eastAsia" w:ascii="宋体" w:hAnsi="宋体" w:eastAsia="宋体" w:cs="宋体"/>
          <w:highlight w:val="none"/>
          <w:lang w:val="en-US" w:eastAsia="zh-CN"/>
        </w:rPr>
        <w:t xml:space="preserve"> </w:t>
      </w:r>
      <w:r>
        <w:rPr>
          <w:rFonts w:hint="eastAsia" w:ascii="宋体" w:hAnsi="宋体" w:eastAsia="宋体" w:cs="宋体"/>
          <w:highlight w:val="none"/>
        </w:rPr>
        <w:t>人：</w:t>
      </w:r>
      <w:r>
        <w:rPr>
          <w:rFonts w:hint="eastAsia" w:ascii="宋体" w:hAnsi="宋体" w:eastAsia="宋体" w:cs="宋体"/>
          <w:highlight w:val="none"/>
          <w:lang w:val="en-US" w:eastAsia="zh-CN"/>
        </w:rPr>
        <w:t>张越</w:t>
      </w:r>
    </w:p>
    <w:p>
      <w:pPr>
        <w:pageBreakBefore w:val="0"/>
        <w:kinsoku/>
        <w:wordWrap/>
        <w:overflowPunct/>
        <w:topLinePunct w:val="0"/>
        <w:autoSpaceDE/>
        <w:autoSpaceDN/>
        <w:bidi w:val="0"/>
        <w:spacing w:line="520" w:lineRule="exact"/>
        <w:ind w:firstLine="480" w:firstLineChars="200"/>
        <w:rPr>
          <w:rFonts w:hint="eastAsia" w:ascii="宋体" w:hAnsi="宋体" w:eastAsia="宋体" w:cs="宋体"/>
          <w:highlight w:val="none"/>
        </w:rPr>
      </w:pPr>
      <w:r>
        <w:rPr>
          <w:rFonts w:hint="eastAsia" w:ascii="宋体" w:hAnsi="宋体" w:eastAsia="宋体" w:cs="宋体"/>
          <w:highlight w:val="none"/>
        </w:rPr>
        <w:t>联系电话：</w:t>
      </w:r>
      <w:r>
        <w:rPr>
          <w:rFonts w:hint="eastAsia" w:ascii="宋体" w:hAnsi="宋体" w:eastAsia="宋体" w:cs="宋体"/>
          <w:highlight w:val="none"/>
          <w:lang w:val="en-US" w:eastAsia="zh-CN"/>
        </w:rPr>
        <w:t>13225398477</w:t>
      </w:r>
      <w:r>
        <w:rPr>
          <w:rFonts w:hint="eastAsia" w:ascii="宋体" w:hAnsi="宋体" w:eastAsia="宋体" w:cs="宋体"/>
          <w:highlight w:val="none"/>
        </w:rPr>
        <w:tab/>
      </w:r>
      <w:r>
        <w:rPr>
          <w:rFonts w:hint="eastAsia" w:ascii="宋体" w:hAnsi="宋体" w:eastAsia="宋体" w:cs="宋体"/>
          <w:highlight w:val="none"/>
          <w:lang w:val="en-US" w:eastAsia="zh-CN"/>
        </w:rPr>
        <w:t xml:space="preserve">           </w:t>
      </w:r>
      <w:r>
        <w:rPr>
          <w:rFonts w:hint="eastAsia" w:ascii="宋体" w:hAnsi="宋体" w:eastAsia="宋体" w:cs="宋体"/>
          <w:highlight w:val="none"/>
        </w:rPr>
        <w:t>联系电话：</w:t>
      </w:r>
      <w:r>
        <w:rPr>
          <w:rFonts w:hint="eastAsia" w:ascii="宋体" w:hAnsi="宋体" w:eastAsia="宋体" w:cs="宋体"/>
          <w:highlight w:val="none"/>
          <w:lang w:val="en-US" w:eastAsia="zh-CN"/>
        </w:rPr>
        <w:t>18596098658</w:t>
      </w:r>
    </w:p>
    <w:p>
      <w:pPr>
        <w:pageBreakBefore w:val="0"/>
        <w:kinsoku/>
        <w:wordWrap/>
        <w:overflowPunct/>
        <w:topLinePunct w:val="0"/>
        <w:autoSpaceDE/>
        <w:autoSpaceDN/>
        <w:bidi w:val="0"/>
        <w:spacing w:line="520" w:lineRule="exact"/>
        <w:ind w:firstLine="480" w:firstLineChars="200"/>
        <w:rPr>
          <w:rFonts w:hint="eastAsia" w:ascii="宋体" w:hAnsi="宋体" w:eastAsia="宋体" w:cs="宋体"/>
          <w:highlight w:val="none"/>
        </w:rPr>
      </w:pPr>
      <w:r>
        <w:rPr>
          <w:rFonts w:hint="eastAsia" w:ascii="宋体" w:hAnsi="宋体" w:eastAsia="宋体" w:cs="宋体"/>
          <w:highlight w:val="none"/>
        </w:rPr>
        <w:t>电子邮箱：</w:t>
      </w:r>
      <w:r>
        <w:rPr>
          <w:rFonts w:hint="eastAsia" w:cs="宋体"/>
          <w:highlight w:val="none"/>
          <w:lang w:val="en-US" w:eastAsia="zh-CN"/>
        </w:rPr>
        <w:t>/</w:t>
      </w:r>
      <w:r>
        <w:rPr>
          <w:rFonts w:hint="eastAsia" w:ascii="宋体" w:hAnsi="宋体" w:eastAsia="宋体" w:cs="宋体"/>
          <w:highlight w:val="none"/>
        </w:rPr>
        <w:tab/>
      </w:r>
      <w:r>
        <w:rPr>
          <w:rFonts w:hint="eastAsia" w:ascii="宋体" w:hAnsi="宋体" w:eastAsia="宋体" w:cs="宋体"/>
          <w:highlight w:val="none"/>
          <w:lang w:val="en-US" w:eastAsia="zh-CN"/>
        </w:rPr>
        <w:t xml:space="preserve">                     </w:t>
      </w:r>
      <w:r>
        <w:rPr>
          <w:rFonts w:hint="eastAsia" w:ascii="宋体" w:hAnsi="宋体" w:eastAsia="宋体" w:cs="宋体"/>
          <w:highlight w:val="none"/>
        </w:rPr>
        <w:t>电子邮箱：</w:t>
      </w:r>
      <w:r>
        <w:rPr>
          <w:rFonts w:hint="eastAsia" w:ascii="宋体" w:hAnsi="宋体" w:eastAsia="宋体" w:cs="宋体"/>
          <w:highlight w:val="none"/>
          <w:lang w:eastAsia="zh-CN"/>
        </w:rPr>
        <w:t>sdldzbdl@163.com</w:t>
      </w:r>
    </w:p>
    <w:p>
      <w:pPr>
        <w:pageBreakBefore w:val="0"/>
        <w:kinsoku/>
        <w:wordWrap/>
        <w:overflowPunct/>
        <w:topLinePunct w:val="0"/>
        <w:autoSpaceDE/>
        <w:autoSpaceDN/>
        <w:bidi w:val="0"/>
        <w:spacing w:line="520" w:lineRule="exact"/>
        <w:ind w:left="4800" w:leftChars="200" w:hanging="4320" w:hangingChars="1800"/>
        <w:rPr>
          <w:rFonts w:hint="eastAsia" w:ascii="宋体" w:hAnsi="宋体" w:eastAsia="宋体" w:cs="宋体"/>
          <w:highlight w:val="none"/>
          <w:lang w:eastAsia="zh-CN"/>
        </w:rPr>
      </w:pPr>
      <w:r>
        <w:rPr>
          <w:rFonts w:hint="eastAsia" w:ascii="宋体" w:hAnsi="宋体" w:eastAsia="宋体" w:cs="宋体"/>
          <w:highlight w:val="none"/>
        </w:rPr>
        <w:t>地</w:t>
      </w:r>
      <w:r>
        <w:rPr>
          <w:rFonts w:hint="eastAsia" w:ascii="宋体" w:hAnsi="宋体" w:eastAsia="宋体" w:cs="宋体"/>
          <w:highlight w:val="none"/>
          <w:lang w:val="en-US" w:eastAsia="zh-CN"/>
        </w:rPr>
        <w:t xml:space="preserve">    </w:t>
      </w:r>
      <w:r>
        <w:rPr>
          <w:rFonts w:hint="eastAsia" w:ascii="宋体" w:hAnsi="宋体" w:eastAsia="宋体" w:cs="宋体"/>
          <w:highlight w:val="none"/>
        </w:rPr>
        <w:t>址：</w:t>
      </w:r>
      <w:r>
        <w:rPr>
          <w:rFonts w:hint="eastAsia" w:ascii="宋体" w:hAnsi="宋体" w:eastAsia="宋体" w:cs="宋体"/>
          <w:highlight w:val="none"/>
          <w:lang w:val="en-US" w:eastAsia="zh-CN"/>
        </w:rPr>
        <w:t>临沂市</w:t>
      </w:r>
      <w:r>
        <w:rPr>
          <w:rFonts w:hint="eastAsia" w:ascii="宋体" w:hAnsi="宋体" w:eastAsia="宋体" w:cs="宋体"/>
          <w:highlight w:val="none"/>
        </w:rPr>
        <w:t xml:space="preserve"> </w:t>
      </w:r>
      <w:r>
        <w:rPr>
          <w:rFonts w:hint="eastAsia" w:ascii="宋体" w:hAnsi="宋体" w:eastAsia="宋体" w:cs="宋体"/>
          <w:highlight w:val="none"/>
          <w:lang w:val="en-US" w:eastAsia="zh-CN"/>
        </w:rPr>
        <w:t xml:space="preserve">                  </w:t>
      </w:r>
      <w:r>
        <w:rPr>
          <w:rFonts w:hint="eastAsia" w:ascii="宋体" w:hAnsi="宋体" w:eastAsia="宋体" w:cs="宋体"/>
          <w:highlight w:val="none"/>
        </w:rPr>
        <w:t>地</w:t>
      </w:r>
      <w:r>
        <w:rPr>
          <w:rFonts w:hint="eastAsia" w:ascii="宋体" w:hAnsi="宋体" w:eastAsia="宋体" w:cs="宋体"/>
          <w:highlight w:val="none"/>
          <w:lang w:val="en-US" w:eastAsia="zh-CN"/>
        </w:rPr>
        <w:t xml:space="preserve">    </w:t>
      </w:r>
      <w:r>
        <w:rPr>
          <w:rFonts w:hint="eastAsia" w:ascii="宋体" w:hAnsi="宋体" w:eastAsia="宋体" w:cs="宋体"/>
          <w:highlight w:val="none"/>
        </w:rPr>
        <w:t>址：</w:t>
      </w:r>
      <w:r>
        <w:rPr>
          <w:rFonts w:hint="eastAsia" w:ascii="宋体" w:hAnsi="宋体" w:eastAsia="宋体" w:cs="宋体"/>
          <w:highlight w:val="none"/>
          <w:lang w:eastAsia="zh-CN"/>
        </w:rPr>
        <w:t>济南市工业南路59号中铁财</w:t>
      </w:r>
    </w:p>
    <w:p>
      <w:pPr>
        <w:pageBreakBefore w:val="0"/>
        <w:kinsoku/>
        <w:wordWrap/>
        <w:overflowPunct/>
        <w:topLinePunct w:val="0"/>
        <w:autoSpaceDE/>
        <w:autoSpaceDN/>
        <w:bidi w:val="0"/>
        <w:spacing w:line="520" w:lineRule="exact"/>
        <w:ind w:left="4800" w:leftChars="200" w:hanging="4320" w:hangingChars="1800"/>
        <w:rPr>
          <w:rFonts w:hint="eastAsia" w:ascii="宋体" w:hAnsi="宋体" w:eastAsia="宋体" w:cs="宋体"/>
          <w:highlight w:val="none"/>
        </w:rPr>
      </w:pPr>
      <w:r>
        <w:rPr>
          <w:rFonts w:hint="eastAsia" w:ascii="宋体" w:hAnsi="宋体" w:eastAsia="宋体" w:cs="宋体"/>
          <w:highlight w:val="none"/>
          <w:lang w:val="en-US" w:eastAsia="zh-CN"/>
        </w:rPr>
        <w:t xml:space="preserve">                                   </w:t>
      </w:r>
      <w:r>
        <w:rPr>
          <w:rFonts w:hint="eastAsia" w:ascii="宋体" w:hAnsi="宋体" w:eastAsia="宋体" w:cs="宋体"/>
          <w:highlight w:val="none"/>
          <w:lang w:eastAsia="zh-CN"/>
        </w:rPr>
        <w:t>智中心6号楼15楼</w:t>
      </w:r>
    </w:p>
    <w:p>
      <w:pPr>
        <w:rPr>
          <w:highlight w:val="none"/>
        </w:rPr>
      </w:pPr>
    </w:p>
    <w:sectPr>
      <w:pgSz w:w="11900" w:h="16821"/>
      <w:pgMar w:top="964" w:right="850" w:bottom="1247" w:left="1134" w:header="720" w:footer="720" w:gutter="0"/>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 w:name="Cambria">
    <w:panose1 w:val="02040503050406030204"/>
    <w:charset w:val="00"/>
    <w:family w:val="roman"/>
    <w:pitch w:val="default"/>
    <w:sig w:usb0="E00002FF" w:usb1="400004FF" w:usb2="00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DC5F4E"/>
    <w:multiLevelType w:val="multilevel"/>
    <w:tmpl w:val="35DC5F4E"/>
    <w:lvl w:ilvl="0" w:tentative="0">
      <w:start w:val="1"/>
      <w:numFmt w:val="none"/>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pStyle w:val="6"/>
      <w:suff w:val="nothing"/>
      <w:lvlText w:val=""/>
      <w:lvlJc w:val="left"/>
      <w:pPr>
        <w:tabs>
          <w:tab w:val="left" w:pos="0"/>
        </w:tabs>
        <w:ind w:left="0" w:firstLine="0"/>
      </w:pPr>
    </w:lvl>
    <w:lvl w:ilvl="4" w:tentative="0">
      <w:start w:val="1"/>
      <w:numFmt w:val="none"/>
      <w:pStyle w:val="7"/>
      <w:suff w:val="nothing"/>
      <w:lvlText w:val=""/>
      <w:lvlJc w:val="left"/>
      <w:pPr>
        <w:tabs>
          <w:tab w:val="left" w:pos="0"/>
        </w:tabs>
        <w:ind w:left="0" w:firstLine="0"/>
      </w:pPr>
    </w:lvl>
    <w:lvl w:ilvl="5" w:tentative="0">
      <w:start w:val="1"/>
      <w:numFmt w:val="none"/>
      <w:pStyle w:val="8"/>
      <w:suff w:val="nothing"/>
      <w:lvlText w:val=""/>
      <w:lvlJc w:val="left"/>
      <w:pPr>
        <w:tabs>
          <w:tab w:val="left" w:pos="0"/>
        </w:tabs>
        <w:ind w:left="0" w:firstLine="0"/>
      </w:pPr>
    </w:lvl>
    <w:lvl w:ilvl="6" w:tentative="0">
      <w:start w:val="1"/>
      <w:numFmt w:val="none"/>
      <w:pStyle w:val="9"/>
      <w:suff w:val="nothing"/>
      <w:lvlText w:val=""/>
      <w:lvlJc w:val="left"/>
      <w:pPr>
        <w:tabs>
          <w:tab w:val="left" w:pos="0"/>
        </w:tabs>
        <w:ind w:left="0" w:firstLine="0"/>
      </w:pPr>
    </w:lvl>
    <w:lvl w:ilvl="7" w:tentative="0">
      <w:start w:val="1"/>
      <w:numFmt w:val="none"/>
      <w:pStyle w:val="10"/>
      <w:suff w:val="nothing"/>
      <w:lvlText w:val=""/>
      <w:lvlJc w:val="left"/>
      <w:pPr>
        <w:tabs>
          <w:tab w:val="left" w:pos="0"/>
        </w:tabs>
        <w:ind w:left="0" w:firstLine="0"/>
      </w:pPr>
    </w:lvl>
    <w:lvl w:ilvl="8" w:tentative="0">
      <w:start w:val="1"/>
      <w:numFmt w:val="none"/>
      <w:pStyle w:val="11"/>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D3B34"/>
    <w:rsid w:val="00492118"/>
    <w:rsid w:val="00BB4E48"/>
    <w:rsid w:val="01DB3804"/>
    <w:rsid w:val="02281028"/>
    <w:rsid w:val="02AB5125"/>
    <w:rsid w:val="02B37461"/>
    <w:rsid w:val="032F6ED5"/>
    <w:rsid w:val="0408651E"/>
    <w:rsid w:val="040B1F88"/>
    <w:rsid w:val="04110DE5"/>
    <w:rsid w:val="042A6F2D"/>
    <w:rsid w:val="042E632D"/>
    <w:rsid w:val="045B7F4E"/>
    <w:rsid w:val="049F3912"/>
    <w:rsid w:val="04D86502"/>
    <w:rsid w:val="0506224F"/>
    <w:rsid w:val="054D16E9"/>
    <w:rsid w:val="05847C95"/>
    <w:rsid w:val="05C723CF"/>
    <w:rsid w:val="05C96AD0"/>
    <w:rsid w:val="062F7AC1"/>
    <w:rsid w:val="069F4D12"/>
    <w:rsid w:val="06F61634"/>
    <w:rsid w:val="079328A3"/>
    <w:rsid w:val="07D2590E"/>
    <w:rsid w:val="085654E0"/>
    <w:rsid w:val="09203239"/>
    <w:rsid w:val="09255ABD"/>
    <w:rsid w:val="09895CA7"/>
    <w:rsid w:val="0B347DF1"/>
    <w:rsid w:val="0B413789"/>
    <w:rsid w:val="0B5E73DA"/>
    <w:rsid w:val="0BB25CF1"/>
    <w:rsid w:val="0C8B0AF6"/>
    <w:rsid w:val="0C901FEE"/>
    <w:rsid w:val="0D0228EB"/>
    <w:rsid w:val="0D1638A6"/>
    <w:rsid w:val="0D367B22"/>
    <w:rsid w:val="0DBE22E5"/>
    <w:rsid w:val="0E28023E"/>
    <w:rsid w:val="0E5E4327"/>
    <w:rsid w:val="0E6F684D"/>
    <w:rsid w:val="0EA6435D"/>
    <w:rsid w:val="0EB32982"/>
    <w:rsid w:val="0F1944A1"/>
    <w:rsid w:val="0F3500DB"/>
    <w:rsid w:val="0F653C62"/>
    <w:rsid w:val="100A6F1F"/>
    <w:rsid w:val="1016059F"/>
    <w:rsid w:val="110478F4"/>
    <w:rsid w:val="11312A34"/>
    <w:rsid w:val="11D27A61"/>
    <w:rsid w:val="12AC663D"/>
    <w:rsid w:val="12F12EC7"/>
    <w:rsid w:val="131634BD"/>
    <w:rsid w:val="13472856"/>
    <w:rsid w:val="13FD5B0C"/>
    <w:rsid w:val="142F2434"/>
    <w:rsid w:val="14617E30"/>
    <w:rsid w:val="146E020F"/>
    <w:rsid w:val="14AD6AFE"/>
    <w:rsid w:val="15B27558"/>
    <w:rsid w:val="163333C4"/>
    <w:rsid w:val="168D6539"/>
    <w:rsid w:val="1695394E"/>
    <w:rsid w:val="16B61AA3"/>
    <w:rsid w:val="16F8116E"/>
    <w:rsid w:val="16F92FE2"/>
    <w:rsid w:val="17B745D5"/>
    <w:rsid w:val="17E6372A"/>
    <w:rsid w:val="184C1FEF"/>
    <w:rsid w:val="18A61FD2"/>
    <w:rsid w:val="193B6459"/>
    <w:rsid w:val="19490AD7"/>
    <w:rsid w:val="19801382"/>
    <w:rsid w:val="1985748C"/>
    <w:rsid w:val="19962A05"/>
    <w:rsid w:val="19994A3A"/>
    <w:rsid w:val="19A31AB2"/>
    <w:rsid w:val="1A1A4978"/>
    <w:rsid w:val="1B01225C"/>
    <w:rsid w:val="1B7B14B0"/>
    <w:rsid w:val="1D495148"/>
    <w:rsid w:val="1D657A87"/>
    <w:rsid w:val="1DA63A02"/>
    <w:rsid w:val="1E233F2C"/>
    <w:rsid w:val="1EB67398"/>
    <w:rsid w:val="1FD63F5E"/>
    <w:rsid w:val="20176105"/>
    <w:rsid w:val="20661754"/>
    <w:rsid w:val="206750B3"/>
    <w:rsid w:val="20BB5356"/>
    <w:rsid w:val="20BD3371"/>
    <w:rsid w:val="210D1553"/>
    <w:rsid w:val="21531F3C"/>
    <w:rsid w:val="21845325"/>
    <w:rsid w:val="222018A7"/>
    <w:rsid w:val="2227065D"/>
    <w:rsid w:val="22754DF4"/>
    <w:rsid w:val="2282038F"/>
    <w:rsid w:val="232D175A"/>
    <w:rsid w:val="239F2573"/>
    <w:rsid w:val="24233D2F"/>
    <w:rsid w:val="243018C8"/>
    <w:rsid w:val="24C3146E"/>
    <w:rsid w:val="24CA3A3B"/>
    <w:rsid w:val="24EA0EE9"/>
    <w:rsid w:val="253A1530"/>
    <w:rsid w:val="25620B60"/>
    <w:rsid w:val="25810BE0"/>
    <w:rsid w:val="25DC601F"/>
    <w:rsid w:val="261D2854"/>
    <w:rsid w:val="26230AA6"/>
    <w:rsid w:val="27343B3C"/>
    <w:rsid w:val="274A691D"/>
    <w:rsid w:val="274B422A"/>
    <w:rsid w:val="27D969FE"/>
    <w:rsid w:val="27F50769"/>
    <w:rsid w:val="28025D05"/>
    <w:rsid w:val="285A6E3F"/>
    <w:rsid w:val="285E69AD"/>
    <w:rsid w:val="2885072D"/>
    <w:rsid w:val="289B2C2F"/>
    <w:rsid w:val="28A00E86"/>
    <w:rsid w:val="29181D24"/>
    <w:rsid w:val="295F08CA"/>
    <w:rsid w:val="2A6853E9"/>
    <w:rsid w:val="2A732529"/>
    <w:rsid w:val="2B0F3F76"/>
    <w:rsid w:val="2B10286C"/>
    <w:rsid w:val="2B2039AB"/>
    <w:rsid w:val="2B230067"/>
    <w:rsid w:val="2B450129"/>
    <w:rsid w:val="2B5D3F1F"/>
    <w:rsid w:val="2BAF78F0"/>
    <w:rsid w:val="2BB30F61"/>
    <w:rsid w:val="2BD41A34"/>
    <w:rsid w:val="2C2A057A"/>
    <w:rsid w:val="2CA205E4"/>
    <w:rsid w:val="2CC75556"/>
    <w:rsid w:val="2CFD060A"/>
    <w:rsid w:val="2D4E6B12"/>
    <w:rsid w:val="2DEF74EF"/>
    <w:rsid w:val="2E0F17DE"/>
    <w:rsid w:val="2E7D5019"/>
    <w:rsid w:val="2EEA1561"/>
    <w:rsid w:val="2EF7411B"/>
    <w:rsid w:val="2F256F9E"/>
    <w:rsid w:val="2F3B2D01"/>
    <w:rsid w:val="2F541DF4"/>
    <w:rsid w:val="2F7B3EE1"/>
    <w:rsid w:val="302A2BB7"/>
    <w:rsid w:val="30792F87"/>
    <w:rsid w:val="309C747F"/>
    <w:rsid w:val="30EC3686"/>
    <w:rsid w:val="310C1E70"/>
    <w:rsid w:val="312B47C5"/>
    <w:rsid w:val="318F6D5A"/>
    <w:rsid w:val="323B39BA"/>
    <w:rsid w:val="323D408C"/>
    <w:rsid w:val="32CB4631"/>
    <w:rsid w:val="330A52AA"/>
    <w:rsid w:val="33351C28"/>
    <w:rsid w:val="336F07E0"/>
    <w:rsid w:val="33741D5C"/>
    <w:rsid w:val="33A635E3"/>
    <w:rsid w:val="34A361AE"/>
    <w:rsid w:val="3559080C"/>
    <w:rsid w:val="355F7F5A"/>
    <w:rsid w:val="361B0156"/>
    <w:rsid w:val="365F12A3"/>
    <w:rsid w:val="36990B23"/>
    <w:rsid w:val="3713487D"/>
    <w:rsid w:val="37613664"/>
    <w:rsid w:val="3775290C"/>
    <w:rsid w:val="38164506"/>
    <w:rsid w:val="38D63B77"/>
    <w:rsid w:val="38D96D4B"/>
    <w:rsid w:val="395563D2"/>
    <w:rsid w:val="3964356F"/>
    <w:rsid w:val="39845F74"/>
    <w:rsid w:val="39951812"/>
    <w:rsid w:val="39D431FC"/>
    <w:rsid w:val="3A25491E"/>
    <w:rsid w:val="3A7655A8"/>
    <w:rsid w:val="3A8852EC"/>
    <w:rsid w:val="3B6B3E39"/>
    <w:rsid w:val="3B723C24"/>
    <w:rsid w:val="3B90771B"/>
    <w:rsid w:val="3BF520C9"/>
    <w:rsid w:val="3BF5738A"/>
    <w:rsid w:val="3C2B6A37"/>
    <w:rsid w:val="3C545628"/>
    <w:rsid w:val="3D42473E"/>
    <w:rsid w:val="3D4D36CC"/>
    <w:rsid w:val="3D6B25D9"/>
    <w:rsid w:val="3D72260B"/>
    <w:rsid w:val="3DBB5F38"/>
    <w:rsid w:val="3DC223A3"/>
    <w:rsid w:val="3DD248FF"/>
    <w:rsid w:val="3DD41894"/>
    <w:rsid w:val="3E957370"/>
    <w:rsid w:val="3EB06756"/>
    <w:rsid w:val="3EBD09E3"/>
    <w:rsid w:val="3F3A7B0C"/>
    <w:rsid w:val="3FC539D9"/>
    <w:rsid w:val="3FC552EA"/>
    <w:rsid w:val="404D5BD3"/>
    <w:rsid w:val="4104118F"/>
    <w:rsid w:val="41294BA5"/>
    <w:rsid w:val="41FF44F0"/>
    <w:rsid w:val="420E2E82"/>
    <w:rsid w:val="42153F68"/>
    <w:rsid w:val="4236225D"/>
    <w:rsid w:val="43320895"/>
    <w:rsid w:val="43AE2D5A"/>
    <w:rsid w:val="43B67919"/>
    <w:rsid w:val="43C131EA"/>
    <w:rsid w:val="43F357CA"/>
    <w:rsid w:val="4416575A"/>
    <w:rsid w:val="442465E9"/>
    <w:rsid w:val="443414EB"/>
    <w:rsid w:val="44616366"/>
    <w:rsid w:val="446D3117"/>
    <w:rsid w:val="44B45395"/>
    <w:rsid w:val="44D92F09"/>
    <w:rsid w:val="44FC7C83"/>
    <w:rsid w:val="45407D5D"/>
    <w:rsid w:val="46201AF3"/>
    <w:rsid w:val="46841F1D"/>
    <w:rsid w:val="46A165C4"/>
    <w:rsid w:val="46D546C7"/>
    <w:rsid w:val="471D20BB"/>
    <w:rsid w:val="4730782D"/>
    <w:rsid w:val="47530DED"/>
    <w:rsid w:val="484E0355"/>
    <w:rsid w:val="48B17B1F"/>
    <w:rsid w:val="48D13ABC"/>
    <w:rsid w:val="49415693"/>
    <w:rsid w:val="49F672FB"/>
    <w:rsid w:val="4A094822"/>
    <w:rsid w:val="4A1D3B34"/>
    <w:rsid w:val="4A825F4B"/>
    <w:rsid w:val="4B3C7FD8"/>
    <w:rsid w:val="4B9E26A1"/>
    <w:rsid w:val="4BA534B2"/>
    <w:rsid w:val="4BBC479C"/>
    <w:rsid w:val="4C8E4886"/>
    <w:rsid w:val="4CB45576"/>
    <w:rsid w:val="4CB702FA"/>
    <w:rsid w:val="4CBD6A73"/>
    <w:rsid w:val="4CFC63B7"/>
    <w:rsid w:val="4D4E3660"/>
    <w:rsid w:val="4D5A49D1"/>
    <w:rsid w:val="4D6177EF"/>
    <w:rsid w:val="4DA87FF5"/>
    <w:rsid w:val="4DB454E0"/>
    <w:rsid w:val="4E9F077D"/>
    <w:rsid w:val="4EF35A16"/>
    <w:rsid w:val="4EFB53E2"/>
    <w:rsid w:val="4F577533"/>
    <w:rsid w:val="4F5E00C6"/>
    <w:rsid w:val="4F65389C"/>
    <w:rsid w:val="4F764D53"/>
    <w:rsid w:val="4F7A4DA4"/>
    <w:rsid w:val="4FE90CC0"/>
    <w:rsid w:val="4FF66142"/>
    <w:rsid w:val="51005390"/>
    <w:rsid w:val="512B1D61"/>
    <w:rsid w:val="515665A0"/>
    <w:rsid w:val="51BD124B"/>
    <w:rsid w:val="52096FAB"/>
    <w:rsid w:val="53245760"/>
    <w:rsid w:val="53533EFA"/>
    <w:rsid w:val="537D4D33"/>
    <w:rsid w:val="53BA247C"/>
    <w:rsid w:val="542E6F61"/>
    <w:rsid w:val="5493560D"/>
    <w:rsid w:val="54EC4A10"/>
    <w:rsid w:val="54FB1129"/>
    <w:rsid w:val="556D2AFE"/>
    <w:rsid w:val="562432B7"/>
    <w:rsid w:val="568A322D"/>
    <w:rsid w:val="569267F8"/>
    <w:rsid w:val="56B73028"/>
    <w:rsid w:val="57A1686A"/>
    <w:rsid w:val="57F52875"/>
    <w:rsid w:val="580E2877"/>
    <w:rsid w:val="58241BDA"/>
    <w:rsid w:val="587B5A9B"/>
    <w:rsid w:val="58993C60"/>
    <w:rsid w:val="59AD218D"/>
    <w:rsid w:val="59C93226"/>
    <w:rsid w:val="59CF06F2"/>
    <w:rsid w:val="5A50087C"/>
    <w:rsid w:val="5ADC6E7C"/>
    <w:rsid w:val="5BD05911"/>
    <w:rsid w:val="5C782AA0"/>
    <w:rsid w:val="5C871234"/>
    <w:rsid w:val="5CFF43D0"/>
    <w:rsid w:val="5D70256B"/>
    <w:rsid w:val="5D871C19"/>
    <w:rsid w:val="5DB43DE8"/>
    <w:rsid w:val="5DF43A3E"/>
    <w:rsid w:val="5EE41E88"/>
    <w:rsid w:val="6021486B"/>
    <w:rsid w:val="604B549E"/>
    <w:rsid w:val="605D0012"/>
    <w:rsid w:val="608451CB"/>
    <w:rsid w:val="609C773B"/>
    <w:rsid w:val="60A94911"/>
    <w:rsid w:val="611F6CA9"/>
    <w:rsid w:val="61332B31"/>
    <w:rsid w:val="61555611"/>
    <w:rsid w:val="618E29BC"/>
    <w:rsid w:val="61981E9A"/>
    <w:rsid w:val="62742140"/>
    <w:rsid w:val="62C51A65"/>
    <w:rsid w:val="62C931FA"/>
    <w:rsid w:val="6378465E"/>
    <w:rsid w:val="646448EA"/>
    <w:rsid w:val="64796676"/>
    <w:rsid w:val="65517D7D"/>
    <w:rsid w:val="65636611"/>
    <w:rsid w:val="6564594C"/>
    <w:rsid w:val="658C05DC"/>
    <w:rsid w:val="658C4478"/>
    <w:rsid w:val="65E3505B"/>
    <w:rsid w:val="66320890"/>
    <w:rsid w:val="668F1040"/>
    <w:rsid w:val="66E8081D"/>
    <w:rsid w:val="66F651FB"/>
    <w:rsid w:val="67053C77"/>
    <w:rsid w:val="676517CD"/>
    <w:rsid w:val="67CF6830"/>
    <w:rsid w:val="68211B28"/>
    <w:rsid w:val="688857CE"/>
    <w:rsid w:val="68AC070B"/>
    <w:rsid w:val="698C0B13"/>
    <w:rsid w:val="6A9A2265"/>
    <w:rsid w:val="6B4776CF"/>
    <w:rsid w:val="6BD550E2"/>
    <w:rsid w:val="6C5B2F5C"/>
    <w:rsid w:val="6C5C15B8"/>
    <w:rsid w:val="6C65053F"/>
    <w:rsid w:val="6CF028CC"/>
    <w:rsid w:val="6D3623FE"/>
    <w:rsid w:val="6D490255"/>
    <w:rsid w:val="6D8D62CA"/>
    <w:rsid w:val="6DF90224"/>
    <w:rsid w:val="6E3E3148"/>
    <w:rsid w:val="6E674133"/>
    <w:rsid w:val="6ED27339"/>
    <w:rsid w:val="6EE7532F"/>
    <w:rsid w:val="6F146C24"/>
    <w:rsid w:val="6F6D51A0"/>
    <w:rsid w:val="6F8F596E"/>
    <w:rsid w:val="7014078C"/>
    <w:rsid w:val="70843292"/>
    <w:rsid w:val="70F30FFA"/>
    <w:rsid w:val="71181C93"/>
    <w:rsid w:val="717D567C"/>
    <w:rsid w:val="722A60B9"/>
    <w:rsid w:val="72B5218F"/>
    <w:rsid w:val="72BC71AD"/>
    <w:rsid w:val="72FC5C24"/>
    <w:rsid w:val="732350E0"/>
    <w:rsid w:val="73244658"/>
    <w:rsid w:val="73375C5D"/>
    <w:rsid w:val="737E0905"/>
    <w:rsid w:val="73977F91"/>
    <w:rsid w:val="73D4425B"/>
    <w:rsid w:val="741A1BC6"/>
    <w:rsid w:val="74506FD9"/>
    <w:rsid w:val="74695BC0"/>
    <w:rsid w:val="74827607"/>
    <w:rsid w:val="74C42E96"/>
    <w:rsid w:val="74D01B49"/>
    <w:rsid w:val="74F92591"/>
    <w:rsid w:val="75107E9E"/>
    <w:rsid w:val="75275BCA"/>
    <w:rsid w:val="760A0BF1"/>
    <w:rsid w:val="761C7FD8"/>
    <w:rsid w:val="762F31E7"/>
    <w:rsid w:val="76450AFD"/>
    <w:rsid w:val="76D14C2F"/>
    <w:rsid w:val="77180575"/>
    <w:rsid w:val="77726A1B"/>
    <w:rsid w:val="78045AB7"/>
    <w:rsid w:val="781A1EB7"/>
    <w:rsid w:val="782C649E"/>
    <w:rsid w:val="786D4474"/>
    <w:rsid w:val="78CB058E"/>
    <w:rsid w:val="78FC7B1D"/>
    <w:rsid w:val="79150E22"/>
    <w:rsid w:val="79182213"/>
    <w:rsid w:val="79B4192A"/>
    <w:rsid w:val="79F7628E"/>
    <w:rsid w:val="7AF47FC0"/>
    <w:rsid w:val="7B1132C5"/>
    <w:rsid w:val="7B356164"/>
    <w:rsid w:val="7B804039"/>
    <w:rsid w:val="7BF442CB"/>
    <w:rsid w:val="7BF9527C"/>
    <w:rsid w:val="7CB207FD"/>
    <w:rsid w:val="7D0473BA"/>
    <w:rsid w:val="7D32474B"/>
    <w:rsid w:val="7D960C21"/>
    <w:rsid w:val="7DD63576"/>
    <w:rsid w:val="7EF74FBA"/>
    <w:rsid w:val="7F193001"/>
    <w:rsid w:val="7F7748AE"/>
    <w:rsid w:val="7FB915FB"/>
    <w:rsid w:val="7FD56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520" w:lineRule="atLeast"/>
      <w:textAlignment w:val="baseline"/>
    </w:pPr>
    <w:rPr>
      <w:rFonts w:ascii="宋体" w:hAnsi="宋体" w:eastAsia="宋体" w:cs="Times New Roman"/>
      <w:sz w:val="24"/>
      <w:szCs w:val="24"/>
      <w:lang w:val="en-US" w:eastAsia="zh-CN" w:bidi="ar-SA"/>
    </w:rPr>
  </w:style>
  <w:style w:type="paragraph" w:styleId="3">
    <w:name w:val="heading 1"/>
    <w:basedOn w:val="1"/>
    <w:next w:val="1"/>
    <w:link w:val="37"/>
    <w:qFormat/>
    <w:uiPriority w:val="0"/>
    <w:pPr>
      <w:keepNext/>
      <w:keepLines/>
      <w:adjustRightInd/>
      <w:spacing w:before="340" w:beforeLines="0" w:after="330" w:afterLines="0" w:line="640" w:lineRule="atLeast"/>
      <w:jc w:val="center"/>
      <w:textAlignment w:val="auto"/>
      <w:outlineLvl w:val="0"/>
    </w:pPr>
    <w:rPr>
      <w:rFonts w:ascii="Times New Roman" w:hAnsi="Times New Roman" w:eastAsia="黑体"/>
      <w:b/>
      <w:bCs/>
      <w:kern w:val="44"/>
      <w:sz w:val="44"/>
      <w:szCs w:val="44"/>
    </w:rPr>
  </w:style>
  <w:style w:type="paragraph" w:styleId="4">
    <w:name w:val="heading 2"/>
    <w:basedOn w:val="1"/>
    <w:next w:val="1"/>
    <w:link w:val="38"/>
    <w:semiHidden/>
    <w:unhideWhenUsed/>
    <w:qFormat/>
    <w:uiPriority w:val="0"/>
    <w:pPr>
      <w:keepNext/>
      <w:keepLines/>
      <w:spacing w:before="260" w:beforeLines="0" w:after="260" w:afterLines="0" w:line="600" w:lineRule="atLeast"/>
      <w:outlineLvl w:val="1"/>
    </w:pPr>
    <w:rPr>
      <w:rFonts w:ascii="Arial" w:hAnsi="Arial" w:eastAsia="黑体"/>
      <w:b/>
      <w:bCs/>
      <w:sz w:val="32"/>
      <w:szCs w:val="32"/>
    </w:rPr>
  </w:style>
  <w:style w:type="paragraph" w:styleId="5">
    <w:name w:val="heading 3"/>
    <w:basedOn w:val="1"/>
    <w:next w:val="1"/>
    <w:link w:val="39"/>
    <w:semiHidden/>
    <w:unhideWhenUsed/>
    <w:qFormat/>
    <w:uiPriority w:val="0"/>
    <w:pPr>
      <w:keepNext/>
      <w:keepLines/>
      <w:adjustRightInd/>
      <w:spacing w:before="100" w:beforeLines="100" w:line="300" w:lineRule="atLeast"/>
      <w:ind w:firstLine="600" w:firstLineChars="200"/>
      <w:jc w:val="both"/>
      <w:textAlignment w:val="auto"/>
      <w:outlineLvl w:val="2"/>
    </w:pPr>
    <w:rPr>
      <w:rFonts w:ascii="Times New Roman" w:hAnsi="Times New Roman" w:eastAsia="黑体"/>
      <w:bCs/>
      <w:sz w:val="28"/>
      <w:szCs w:val="32"/>
    </w:rPr>
  </w:style>
  <w:style w:type="paragraph" w:styleId="6">
    <w:name w:val="heading 4"/>
    <w:basedOn w:val="1"/>
    <w:next w:val="1"/>
    <w:link w:val="41"/>
    <w:semiHidden/>
    <w:unhideWhenUsed/>
    <w:qFormat/>
    <w:uiPriority w:val="0"/>
    <w:pPr>
      <w:keepNext/>
      <w:keepLines/>
      <w:numPr>
        <w:ilvl w:val="3"/>
        <w:numId w:val="1"/>
      </w:numPr>
      <w:spacing w:beforeLines="0" w:beforeAutospacing="0" w:afterLines="0" w:afterAutospacing="0" w:line="640" w:lineRule="atLeast"/>
      <w:outlineLvl w:val="3"/>
    </w:pPr>
    <w:rPr>
      <w:rFonts w:ascii="Arial" w:hAnsi="Arial" w:eastAsia="宋体"/>
      <w:bCs/>
      <w:szCs w:val="24"/>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outlineLvl w:val="4"/>
    </w:pPr>
    <w:rPr>
      <w:b/>
      <w:sz w:val="28"/>
    </w:rPr>
  </w:style>
  <w:style w:type="paragraph" w:styleId="8">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outlineLvl w:val="8"/>
    </w:pPr>
    <w:rPr>
      <w:rFonts w:ascii="Arial" w:hAnsi="Arial" w:eastAsia="黑体"/>
      <w:sz w:val="21"/>
    </w:rPr>
  </w:style>
  <w:style w:type="character" w:default="1" w:styleId="22">
    <w:name w:val="Default Paragraph Font"/>
    <w:link w:val="23"/>
    <w:semiHidden/>
    <w:qFormat/>
    <w:uiPriority w:val="0"/>
    <w:rPr>
      <w:rFonts w:ascii="Calibri" w:hAnsi="Calibri" w:cs="仿宋_GB2312"/>
      <w:kern w:val="2"/>
      <w:sz w:val="24"/>
      <w:szCs w:val="28"/>
    </w:rPr>
  </w:style>
  <w:style w:type="table" w:default="1" w:styleId="21">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widowControl w:val="0"/>
      <w:spacing w:before="120"/>
      <w:jc w:val="both"/>
    </w:pPr>
    <w:rPr>
      <w:rFonts w:ascii="Arial" w:hAnsi="Arial"/>
      <w:kern w:val="2"/>
      <w:sz w:val="24"/>
    </w:rPr>
  </w:style>
  <w:style w:type="paragraph" w:styleId="12">
    <w:name w:val="Normal Indent"/>
    <w:basedOn w:val="1"/>
    <w:qFormat/>
    <w:uiPriority w:val="0"/>
    <w:pPr>
      <w:ind w:firstLine="420" w:firstLineChars="200"/>
    </w:pPr>
  </w:style>
  <w:style w:type="paragraph" w:styleId="13">
    <w:name w:val="Document Map"/>
    <w:basedOn w:val="1"/>
    <w:qFormat/>
    <w:uiPriority w:val="0"/>
    <w:pPr>
      <w:shd w:val="clear" w:color="auto" w:fill="000080"/>
    </w:pPr>
  </w:style>
  <w:style w:type="paragraph" w:styleId="14">
    <w:name w:val="Body Text"/>
    <w:basedOn w:val="1"/>
    <w:link w:val="40"/>
    <w:qFormat/>
    <w:uiPriority w:val="0"/>
    <w:pPr>
      <w:spacing w:after="120" w:afterLines="0" w:afterAutospacing="0"/>
      <w:jc w:val="center"/>
    </w:pPr>
    <w:rPr>
      <w:rFonts w:cs="Times New Roman"/>
      <w:b/>
    </w:rPr>
  </w:style>
  <w:style w:type="paragraph" w:styleId="15">
    <w:name w:val="Body Text Indent"/>
    <w:basedOn w:val="1"/>
    <w:qFormat/>
    <w:uiPriority w:val="99"/>
    <w:pPr>
      <w:spacing w:line="500" w:lineRule="exact"/>
      <w:ind w:left="1588" w:leftChars="832" w:firstLine="433" w:firstLineChars="196"/>
    </w:pPr>
    <w:rPr>
      <w:rFonts w:ascii="方正粗黑宋简体" w:hAnsi="方正粗黑宋简体"/>
      <w:sz w:val="20"/>
      <w:szCs w:val="20"/>
    </w:rPr>
  </w:style>
  <w:style w:type="paragraph" w:styleId="16">
    <w:name w:val="index 4"/>
    <w:basedOn w:val="1"/>
    <w:next w:val="1"/>
    <w:qFormat/>
    <w:uiPriority w:val="0"/>
    <w:pPr>
      <w:ind w:left="600" w:leftChars="600"/>
    </w:pPr>
  </w:style>
  <w:style w:type="paragraph" w:styleId="17">
    <w:name w:val="toc 1"/>
    <w:basedOn w:val="1"/>
    <w:next w:val="1"/>
    <w:qFormat/>
    <w:uiPriority w:val="0"/>
  </w:style>
  <w:style w:type="paragraph" w:styleId="18">
    <w:name w:val="Normal (Web)"/>
    <w:basedOn w:val="1"/>
    <w:uiPriority w:val="0"/>
    <w:pPr>
      <w:spacing w:before="0" w:beforeAutospacing="1" w:after="0" w:afterAutospacing="1"/>
      <w:ind w:left="0" w:right="0"/>
      <w:jc w:val="left"/>
    </w:pPr>
    <w:rPr>
      <w:kern w:val="0"/>
      <w:sz w:val="24"/>
      <w:lang w:val="en-US" w:eastAsia="zh-CN" w:bidi="ar"/>
    </w:rPr>
  </w:style>
  <w:style w:type="paragraph" w:styleId="19">
    <w:name w:val="Body Text First Indent"/>
    <w:basedOn w:val="14"/>
    <w:qFormat/>
    <w:uiPriority w:val="0"/>
    <w:pPr>
      <w:ind w:firstLine="420" w:firstLineChars="100"/>
    </w:pPr>
  </w:style>
  <w:style w:type="paragraph" w:styleId="20">
    <w:name w:val="Body Text First Indent 2"/>
    <w:basedOn w:val="15"/>
    <w:qFormat/>
    <w:uiPriority w:val="0"/>
    <w:pPr>
      <w:spacing w:after="120" w:afterLines="0"/>
      <w:ind w:left="480" w:leftChars="200" w:firstLine="210" w:firstLineChars="100"/>
    </w:pPr>
    <w:rPr>
      <w:rFonts w:hAnsi="方正粗黑宋简体"/>
      <w:sz w:val="28"/>
      <w:lang w:eastAsia="zh-TW"/>
    </w:rPr>
  </w:style>
  <w:style w:type="paragraph" w:customStyle="1" w:styleId="23">
    <w:name w:val="Char"/>
    <w:basedOn w:val="13"/>
    <w:link w:val="22"/>
    <w:qFormat/>
    <w:uiPriority w:val="0"/>
    <w:pPr>
      <w:widowControl w:val="0"/>
      <w:jc w:val="both"/>
    </w:pPr>
    <w:rPr>
      <w:rFonts w:ascii="Calibri" w:hAnsi="Calibri" w:cs="仿宋_GB2312"/>
      <w:kern w:val="2"/>
      <w:sz w:val="24"/>
      <w:szCs w:val="28"/>
    </w:rPr>
  </w:style>
  <w:style w:type="character" w:styleId="24">
    <w:name w:val="Strong"/>
    <w:basedOn w:val="22"/>
    <w:qFormat/>
    <w:uiPriority w:val="0"/>
  </w:style>
  <w:style w:type="character" w:styleId="25">
    <w:name w:val="FollowedHyperlink"/>
    <w:basedOn w:val="22"/>
    <w:uiPriority w:val="0"/>
    <w:rPr>
      <w:color w:val="800080"/>
      <w:u w:val="none"/>
    </w:rPr>
  </w:style>
  <w:style w:type="character" w:styleId="26">
    <w:name w:val="Emphasis"/>
    <w:basedOn w:val="22"/>
    <w:qFormat/>
    <w:uiPriority w:val="0"/>
  </w:style>
  <w:style w:type="character" w:styleId="27">
    <w:name w:val="HTML Definition"/>
    <w:basedOn w:val="22"/>
    <w:uiPriority w:val="0"/>
  </w:style>
  <w:style w:type="character" w:styleId="28">
    <w:name w:val="HTML Typewriter"/>
    <w:basedOn w:val="22"/>
    <w:uiPriority w:val="0"/>
    <w:rPr>
      <w:rFonts w:hint="default" w:ascii="monospace" w:hAnsi="monospace" w:eastAsia="monospace" w:cs="monospace"/>
      <w:sz w:val="20"/>
    </w:rPr>
  </w:style>
  <w:style w:type="character" w:styleId="29">
    <w:name w:val="HTML Acronym"/>
    <w:basedOn w:val="22"/>
    <w:uiPriority w:val="0"/>
    <w:rPr>
      <w:bdr w:val="none" w:color="auto" w:sz="0" w:space="0"/>
    </w:rPr>
  </w:style>
  <w:style w:type="character" w:styleId="30">
    <w:name w:val="HTML Variable"/>
    <w:basedOn w:val="22"/>
    <w:uiPriority w:val="0"/>
  </w:style>
  <w:style w:type="character" w:styleId="31">
    <w:name w:val="Hyperlink"/>
    <w:basedOn w:val="22"/>
    <w:uiPriority w:val="0"/>
    <w:rPr>
      <w:color w:val="333333"/>
      <w:u w:val="none"/>
    </w:rPr>
  </w:style>
  <w:style w:type="character" w:styleId="32">
    <w:name w:val="HTML Code"/>
    <w:basedOn w:val="22"/>
    <w:uiPriority w:val="0"/>
    <w:rPr>
      <w:rFonts w:hint="default" w:ascii="monospace" w:hAnsi="monospace" w:eastAsia="monospace" w:cs="monospace"/>
      <w:sz w:val="20"/>
      <w:bdr w:val="none" w:color="auto" w:sz="0" w:space="0"/>
    </w:rPr>
  </w:style>
  <w:style w:type="character" w:styleId="33">
    <w:name w:val="HTML Cite"/>
    <w:basedOn w:val="22"/>
    <w:uiPriority w:val="0"/>
  </w:style>
  <w:style w:type="character" w:styleId="34">
    <w:name w:val="HTML Keyboard"/>
    <w:basedOn w:val="22"/>
    <w:uiPriority w:val="0"/>
    <w:rPr>
      <w:rFonts w:ascii="monospace" w:hAnsi="monospace" w:eastAsia="monospace" w:cs="monospace"/>
      <w:sz w:val="20"/>
    </w:rPr>
  </w:style>
  <w:style w:type="character" w:styleId="35">
    <w:name w:val="HTML Sample"/>
    <w:basedOn w:val="22"/>
    <w:uiPriority w:val="0"/>
    <w:rPr>
      <w:rFonts w:hint="default" w:ascii="monospace" w:hAnsi="monospace" w:eastAsia="monospace" w:cs="monospace"/>
    </w:rPr>
  </w:style>
  <w:style w:type="paragraph" w:customStyle="1" w:styleId="36">
    <w:name w:val=" Char"/>
    <w:basedOn w:val="1"/>
    <w:link w:val="22"/>
    <w:qFormat/>
    <w:uiPriority w:val="0"/>
    <w:pPr>
      <w:widowControl w:val="0"/>
      <w:jc w:val="both"/>
    </w:pPr>
    <w:rPr>
      <w:rFonts w:ascii="Cambria" w:eastAsia="Cambria"/>
      <w:b/>
      <w:kern w:val="2"/>
      <w:sz w:val="32"/>
      <w:szCs w:val="32"/>
    </w:rPr>
  </w:style>
  <w:style w:type="character" w:customStyle="1" w:styleId="37">
    <w:name w:val="标题 1 Char"/>
    <w:link w:val="3"/>
    <w:qFormat/>
    <w:uiPriority w:val="0"/>
    <w:rPr>
      <w:rFonts w:ascii="Times New Roman" w:hAnsi="Times New Roman" w:eastAsia="黑体"/>
      <w:b/>
      <w:bCs/>
      <w:kern w:val="44"/>
      <w:sz w:val="44"/>
      <w:szCs w:val="44"/>
    </w:rPr>
  </w:style>
  <w:style w:type="character" w:customStyle="1" w:styleId="38">
    <w:name w:val="标题 2 Char"/>
    <w:link w:val="4"/>
    <w:qFormat/>
    <w:uiPriority w:val="0"/>
    <w:rPr>
      <w:rFonts w:ascii="Arial" w:hAnsi="Arial" w:eastAsia="宋体" w:cs="宋体"/>
      <w:b/>
      <w:bCs/>
      <w:sz w:val="28"/>
      <w:szCs w:val="36"/>
    </w:rPr>
  </w:style>
  <w:style w:type="character" w:customStyle="1" w:styleId="39">
    <w:name w:val="标题 3 Char"/>
    <w:link w:val="5"/>
    <w:qFormat/>
    <w:uiPriority w:val="0"/>
    <w:rPr>
      <w:rFonts w:ascii="Times New Roman" w:hAnsi="Times New Roman" w:eastAsia="黑体"/>
      <w:bCs/>
      <w:kern w:val="2"/>
      <w:sz w:val="24"/>
      <w:szCs w:val="32"/>
    </w:rPr>
  </w:style>
  <w:style w:type="character" w:customStyle="1" w:styleId="40">
    <w:name w:val="正文文本 Char"/>
    <w:link w:val="14"/>
    <w:qFormat/>
    <w:uiPriority w:val="99"/>
    <w:rPr>
      <w:rFonts w:eastAsia="仿宋_GB2312" w:cs="Times New Roman"/>
      <w:b/>
    </w:rPr>
  </w:style>
  <w:style w:type="character" w:customStyle="1" w:styleId="41">
    <w:name w:val="标题 4 Char"/>
    <w:link w:val="6"/>
    <w:qFormat/>
    <w:uiPriority w:val="0"/>
    <w:rPr>
      <w:rFonts w:ascii="Arial" w:hAnsi="Arial" w:eastAsia="宋体"/>
      <w:bCs/>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58</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2021-10-21T07:14:00Z</dcterms:created>
  <dc:creator>Corgi </dc:creator>
  <cp:lastModifiedBy>Corgi </cp:lastModifiedBy>
  <dcterms:modified xsi:type="dcterms:W3CDTF">2021-10-21T08:52:38Z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0ABBAAA82010462ABBD84429EF547578</vt:lpwstr>
  </property>
</Properties>
</file>